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胸外·甲乳外科设备</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NYCG-2510-ZB-01</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价方式对南江县人民医院胸外·甲乳外科设备院内采购项目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val="0"/>
          <w:bCs w:val="0"/>
          <w:color w:val="auto"/>
          <w:sz w:val="32"/>
          <w:szCs w:val="32"/>
          <w:lang w:val="en-US" w:eastAsia="zh-CN"/>
        </w:rPr>
        <w:t>NYCG-2510-ZB-01</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二、项目名称：南江县人民医院胸外·甲乳外科设备院内采购项目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lang w:val="en-US" w:eastAsia="zh-CN"/>
        </w:rPr>
        <w:t>三、采购项目概况：</w:t>
      </w:r>
    </w:p>
    <w:tbl>
      <w:tblPr>
        <w:tblStyle w:val="6"/>
        <w:tblW w:w="8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3655"/>
        <w:gridCol w:w="1005"/>
        <w:gridCol w:w="825"/>
        <w:gridCol w:w="1325"/>
        <w:gridCol w:w="1353"/>
      </w:tblGrid>
      <w:tr w14:paraId="3596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2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序号</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4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设备名称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E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C2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4AAE">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单价/元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17FC">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总价/元</w:t>
            </w:r>
          </w:p>
        </w:tc>
      </w:tr>
      <w:tr w14:paraId="19D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0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98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病床、床头柜、床垫</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B7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1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套</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8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1950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8F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40950</w:t>
            </w:r>
          </w:p>
        </w:tc>
      </w:tr>
      <w:tr w14:paraId="70DD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A4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E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病人监护仪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E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F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D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20000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A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40000</w:t>
            </w:r>
          </w:p>
        </w:tc>
      </w:tr>
      <w:tr w14:paraId="38A6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D8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05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多频震动排痰仪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1F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70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70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51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16000</w:t>
            </w:r>
          </w:p>
        </w:tc>
      </w:tr>
      <w:tr w14:paraId="6C82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D5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F6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空气波压力循环治疗仪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62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D3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9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19000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07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19000</w:t>
            </w:r>
          </w:p>
        </w:tc>
      </w:tr>
      <w:tr w14:paraId="024F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30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F5B1">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手术辅助照明灯（9孔）</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5F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BB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DC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1C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1000</w:t>
            </w:r>
          </w:p>
        </w:tc>
      </w:tr>
      <w:tr w14:paraId="3785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FB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6</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E4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移动式空气消毒机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F6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8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2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68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5000</w:t>
            </w:r>
          </w:p>
        </w:tc>
      </w:tr>
      <w:tr w14:paraId="399E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09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5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不锈钢输液车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88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3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F3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D1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3000</w:t>
            </w:r>
          </w:p>
        </w:tc>
      </w:tr>
      <w:tr w14:paraId="1BC1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55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8</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9B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不锈钢治疗车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C2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5ED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AD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82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3000</w:t>
            </w:r>
          </w:p>
        </w:tc>
      </w:tr>
      <w:tr w14:paraId="7988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8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1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电动负压吸引器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FF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B9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54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1680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D7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1680</w:t>
            </w:r>
          </w:p>
        </w:tc>
      </w:tr>
      <w:tr w14:paraId="1A32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EB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E7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电子体重秤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5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2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05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780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0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780</w:t>
            </w:r>
          </w:p>
        </w:tc>
      </w:tr>
      <w:tr w14:paraId="3EAD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4A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B5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轮椅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A7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B3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4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620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99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1240</w:t>
            </w:r>
          </w:p>
        </w:tc>
      </w:tr>
      <w:tr w14:paraId="1A7B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77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12</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0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红光治疗仪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0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B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A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81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15000</w:t>
            </w:r>
          </w:p>
        </w:tc>
      </w:tr>
      <w:tr w14:paraId="6646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CD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13</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2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检查床</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7C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79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张</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68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980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A7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980</w:t>
            </w:r>
          </w:p>
        </w:tc>
      </w:tr>
      <w:tr w14:paraId="0335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9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合计</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A29B">
            <w:pPr>
              <w:jc w:val="center"/>
              <w:rPr>
                <w:rFonts w:hint="eastAsia" w:ascii="仿宋" w:hAnsi="仿宋" w:eastAsia="仿宋" w:cs="仿宋"/>
                <w:i w:val="0"/>
                <w:iCs w:val="0"/>
                <w:color w:val="000000"/>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26E2">
            <w:pPr>
              <w:jc w:val="center"/>
              <w:rPr>
                <w:rFonts w:hint="eastAsia" w:ascii="仿宋" w:hAnsi="仿宋" w:eastAsia="仿宋" w:cs="仿宋"/>
                <w:i w:val="0"/>
                <w:iCs w:val="0"/>
                <w:color w:val="000000"/>
                <w:sz w:val="28"/>
                <w:szCs w:val="2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358C">
            <w:pPr>
              <w:jc w:val="center"/>
              <w:rPr>
                <w:rFonts w:hint="eastAsia" w:ascii="仿宋" w:hAnsi="仿宋" w:eastAsia="仿宋" w:cs="仿宋"/>
                <w:i w:val="0"/>
                <w:iCs w:val="0"/>
                <w:color w:val="000000"/>
                <w:sz w:val="28"/>
                <w:szCs w:val="2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B0F1">
            <w:pPr>
              <w:jc w:val="center"/>
              <w:rPr>
                <w:rFonts w:hint="eastAsia" w:ascii="仿宋" w:hAnsi="仿宋" w:eastAsia="仿宋" w:cs="仿宋"/>
                <w:i w:val="0"/>
                <w:iCs w:val="0"/>
                <w:color w:val="000000"/>
                <w:sz w:val="28"/>
                <w:szCs w:val="2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0E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147630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147630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tbl>
      <w:tblPr>
        <w:tblStyle w:val="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10"/>
        <w:gridCol w:w="7056"/>
      </w:tblGrid>
      <w:tr w14:paraId="41EB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 w:type="dxa"/>
            <w:vAlign w:val="center"/>
          </w:tcPr>
          <w:p w14:paraId="291A102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序号</w:t>
            </w:r>
          </w:p>
        </w:tc>
        <w:tc>
          <w:tcPr>
            <w:tcW w:w="1410" w:type="dxa"/>
            <w:vAlign w:val="center"/>
          </w:tcPr>
          <w:p w14:paraId="3253C14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设备名称</w:t>
            </w:r>
          </w:p>
        </w:tc>
        <w:tc>
          <w:tcPr>
            <w:tcW w:w="7056" w:type="dxa"/>
            <w:vAlign w:val="center"/>
          </w:tcPr>
          <w:p w14:paraId="3E83B16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技术参数</w:t>
            </w:r>
          </w:p>
        </w:tc>
      </w:tr>
      <w:tr w14:paraId="377E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 w:type="dxa"/>
            <w:vAlign w:val="center"/>
          </w:tcPr>
          <w:p w14:paraId="0EE91B5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w:t>
            </w:r>
          </w:p>
        </w:tc>
        <w:tc>
          <w:tcPr>
            <w:tcW w:w="1410" w:type="dxa"/>
            <w:vAlign w:val="center"/>
          </w:tcPr>
          <w:p w14:paraId="5D72C61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病床</w:t>
            </w:r>
          </w:p>
        </w:tc>
        <w:tc>
          <w:tcPr>
            <w:tcW w:w="7056" w:type="dxa"/>
            <w:vAlign w:val="center"/>
          </w:tcPr>
          <w:p w14:paraId="3A2BA64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1.床的规格：长：＞2000mm；宽：＞900mm；高：≥500mm</w:t>
            </w:r>
          </w:p>
          <w:p w14:paraId="23F9CEA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病床可以升降背部和腿部。</w:t>
            </w:r>
          </w:p>
          <w:p w14:paraId="4A7BA29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2.配置：ABS床头尾板、摇杆系统、引流挂钩、杂物架、隐藏式餐桌板放置架及隐藏餐桌板、静音脚轮带刹车、铝合金护栏、输液架插座、输液杆、床垫、ABS床头柜。</w:t>
            </w:r>
          </w:p>
          <w:p w14:paraId="4A0FACF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3.床头、床尾板：全ABS材料，一次注塑成型，带防撞护角；采用快速拆卸开关结构，具有快速打开、自动锁紧功能和急救板功能。</w:t>
            </w:r>
          </w:p>
          <w:p w14:paraId="0E87A72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4.床面板需采用冷轧板材一次性冲压成型，表面光滑无毛刺且人体接触或存放物品的地方应无毛刺、刃口、棱角整体床面形成凹型面板结构，有透气孔；床板四周具有承重支撑件，增加承载力。</w:t>
            </w:r>
          </w:p>
          <w:p w14:paraId="453A1BF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5.病床金属部位经过无害的物质喷涂，涂层均匀，具有抗菌，抗酸碱、耐腐蚀、耐褪色。</w:t>
            </w:r>
          </w:p>
          <w:p w14:paraId="395D208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6.摇杆系统摇把采用ABS材质或ABS材质外包，具备防撞结构设计，为防止摇把在不正确使用时损坏，丝杆具有过盈保护装置，可0°～180°折叠。</w:t>
            </w:r>
          </w:p>
          <w:p w14:paraId="644A4BA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7.引流挂钩采用金属材料一次性弯制成型，对称式快速挂钩，方便安装和拆卸。</w:t>
            </w:r>
          </w:p>
          <w:p w14:paraId="1F926E1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稳定性检测要合格、床铺面垂直静载荷检测要合格、床侧边垂直静载荷检测要合格、床铺面水平耐久性检测要合格、床框架水平耐久性检测要合格；床铺面冲击载荷，床面动态载荷承受≥250KG，均布载荷承受≥300KG；床结构耐久性，床板升降到最高和最低点时继续摇动摇手不会造成结构性损坏。（提供证明资料）</w:t>
            </w:r>
          </w:p>
          <w:p w14:paraId="3BAC462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9.铝合金折叠护栏：护栏升起后护栏上缘距离床面有效护栏高度≥30CM，有效防止老年患者发生坠床风险。</w:t>
            </w:r>
          </w:p>
          <w:p w14:paraId="22859F3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10.刹车轮：脚轮直径≥5寸的高级静音轮，四轮带刹，推动平稳灵活，制动稳定可靠。</w:t>
            </w:r>
          </w:p>
          <w:p w14:paraId="2646DE0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11.床垫：床垫尺寸和分段与病床相配，面料耐干摩擦≥4级，耐湿摩擦≥3级，抗菌（提供相关证明资料）。</w:t>
            </w:r>
          </w:p>
          <w:p w14:paraId="278C8CF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12.床头柜：规格为≥长450*宽420*高750mm，采用ABS高级工程塑料注塑成型，表面易清洗、擦拭，整体美观大方，带有毛巾架、手提袋挂钩、餐板，上抽、下柜，柜内有隔板，可放置不同规格物品。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3415"/>
            </w:tblGrid>
            <w:tr w14:paraId="2055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0" w:type="dxa"/>
                  <w:gridSpan w:val="2"/>
                  <w:vAlign w:val="center"/>
                </w:tcPr>
                <w:p w14:paraId="68D1676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配置清单</w:t>
                  </w:r>
                </w:p>
              </w:tc>
            </w:tr>
            <w:tr w14:paraId="6A6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27EBAA7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配置产品名称</w:t>
                  </w:r>
                </w:p>
              </w:tc>
              <w:tc>
                <w:tcPr>
                  <w:tcW w:w="3415" w:type="dxa"/>
                  <w:vAlign w:val="center"/>
                </w:tcPr>
                <w:p w14:paraId="226EE231">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数量</w:t>
                  </w:r>
                </w:p>
              </w:tc>
            </w:tr>
            <w:tr w14:paraId="6C7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7D674C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床头尾板</w:t>
                  </w:r>
                </w:p>
              </w:tc>
              <w:tc>
                <w:tcPr>
                  <w:tcW w:w="3415" w:type="dxa"/>
                  <w:vAlign w:val="center"/>
                </w:tcPr>
                <w:p w14:paraId="4AAC019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1对</w:t>
                  </w:r>
                </w:p>
              </w:tc>
            </w:tr>
            <w:tr w14:paraId="5DC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5791BAE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不锈钢护栏</w:t>
                  </w:r>
                </w:p>
              </w:tc>
              <w:tc>
                <w:tcPr>
                  <w:tcW w:w="3415" w:type="dxa"/>
                  <w:vAlign w:val="center"/>
                </w:tcPr>
                <w:p w14:paraId="0D11522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1对</w:t>
                  </w:r>
                </w:p>
              </w:tc>
            </w:tr>
            <w:tr w14:paraId="2CD2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49A3F8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摇杆系统</w:t>
                  </w:r>
                </w:p>
              </w:tc>
              <w:tc>
                <w:tcPr>
                  <w:tcW w:w="3415" w:type="dxa"/>
                  <w:vAlign w:val="center"/>
                </w:tcPr>
                <w:p w14:paraId="0371523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2套</w:t>
                  </w:r>
                </w:p>
              </w:tc>
            </w:tr>
            <w:tr w14:paraId="4D9F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9F519DA">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5寸单刹脚轮</w:t>
                  </w:r>
                </w:p>
              </w:tc>
              <w:tc>
                <w:tcPr>
                  <w:tcW w:w="3415" w:type="dxa"/>
                  <w:vAlign w:val="center"/>
                </w:tcPr>
                <w:p w14:paraId="31B904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4只</w:t>
                  </w:r>
                </w:p>
              </w:tc>
            </w:tr>
            <w:tr w14:paraId="00A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0BF0E0C0">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引流袋挂钩</w:t>
                  </w:r>
                </w:p>
              </w:tc>
              <w:tc>
                <w:tcPr>
                  <w:tcW w:w="3415" w:type="dxa"/>
                  <w:vAlign w:val="center"/>
                </w:tcPr>
                <w:p w14:paraId="482BE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2个</w:t>
                  </w:r>
                </w:p>
              </w:tc>
            </w:tr>
            <w:tr w14:paraId="02AB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17711D2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隐藏式餐板放置架</w:t>
                  </w:r>
                </w:p>
              </w:tc>
              <w:tc>
                <w:tcPr>
                  <w:tcW w:w="3415" w:type="dxa"/>
                  <w:vAlign w:val="center"/>
                </w:tcPr>
                <w:p w14:paraId="57C1409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2E84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357326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杂物架</w:t>
                  </w:r>
                </w:p>
              </w:tc>
              <w:tc>
                <w:tcPr>
                  <w:tcW w:w="3415" w:type="dxa"/>
                  <w:vAlign w:val="center"/>
                </w:tcPr>
                <w:p w14:paraId="0EA53C3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2FF1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147EC651">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餐桌板</w:t>
                  </w:r>
                </w:p>
              </w:tc>
              <w:tc>
                <w:tcPr>
                  <w:tcW w:w="3415" w:type="dxa"/>
                  <w:vAlign w:val="center"/>
                </w:tcPr>
                <w:p w14:paraId="466824C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44C7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6405DEA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床垫</w:t>
                  </w:r>
                </w:p>
              </w:tc>
              <w:tc>
                <w:tcPr>
                  <w:tcW w:w="3415" w:type="dxa"/>
                  <w:vAlign w:val="center"/>
                </w:tcPr>
                <w:p w14:paraId="63FE5E6F">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1张</w:t>
                  </w:r>
                </w:p>
              </w:tc>
            </w:tr>
            <w:tr w14:paraId="0C00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79B7AB0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床头柜</w:t>
                  </w:r>
                </w:p>
              </w:tc>
              <w:tc>
                <w:tcPr>
                  <w:tcW w:w="3415" w:type="dxa"/>
                  <w:vAlign w:val="center"/>
                </w:tcPr>
                <w:p w14:paraId="14E333A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031D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4802EB9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输液杆</w:t>
                  </w:r>
                </w:p>
              </w:tc>
              <w:tc>
                <w:tcPr>
                  <w:tcW w:w="3415" w:type="dxa"/>
                  <w:vAlign w:val="center"/>
                </w:tcPr>
                <w:p w14:paraId="75E84B6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1根</w:t>
                  </w:r>
                </w:p>
              </w:tc>
            </w:tr>
          </w:tbl>
          <w:p w14:paraId="1953B31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p>
        </w:tc>
      </w:tr>
      <w:tr w14:paraId="6CBC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30CC0E0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w:t>
            </w:r>
          </w:p>
        </w:tc>
        <w:tc>
          <w:tcPr>
            <w:tcW w:w="1410" w:type="dxa"/>
            <w:vAlign w:val="center"/>
          </w:tcPr>
          <w:p w14:paraId="142E1EF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病人监护仪</w:t>
            </w:r>
          </w:p>
        </w:tc>
        <w:tc>
          <w:tcPr>
            <w:tcW w:w="7056" w:type="dxa"/>
            <w:vAlign w:val="center"/>
          </w:tcPr>
          <w:p w14:paraId="07802BD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1.≥10英寸彩色触摸屏，分辨率≥1280*800，≥6通道波形显示；使用年限≥10年。（提供产品说明书或检测报告证明文件）</w:t>
            </w:r>
          </w:p>
          <w:p w14:paraId="31A6124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2.显示屏采用宽视角技术，支持170度可视范围，提供彩页等证明材料。</w:t>
            </w:r>
          </w:p>
          <w:p w14:paraId="49C5BE0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3.至少具备以下参数监测功能：3/5导心电，呼吸，无创血压，血氧饱和度，脉搏和双通道体温参数监测，参数监测适用于成人、小儿、新生儿患者。</w:t>
            </w:r>
          </w:p>
          <w:p w14:paraId="3FCB1D8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4.至少支持室性心动过速、室上性心动过速、PVCs/min、SVCs/min等心律失常分析。（提供产品说明书或检测报告证明文件）</w:t>
            </w:r>
          </w:p>
          <w:p w14:paraId="2FD00EE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5.心电支持≥3个分析导联实时动态同步分析（并非多个导联波形同屏显示及12导联静息分析）。（提供产品说明书或检测报告证明文件）</w:t>
            </w:r>
          </w:p>
          <w:p w14:paraId="664AE7C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6.提供SpO2,PR和PI参数的实时监测，适用于成人，小儿和新生儿。来自SpO2的PR测量范围：20-300。</w:t>
            </w:r>
          </w:p>
          <w:p w14:paraId="26227A1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7.支持指套式血氧探头，IPX7防水等级，支持液体浸泡消毒和清洁。</w:t>
            </w:r>
          </w:p>
          <w:p w14:paraId="3420C18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8.提供手动，自动，连续、序列和整点5种测量模式，提供24小时血压统计结果。</w:t>
            </w:r>
          </w:p>
          <w:p w14:paraId="40B82E5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9.提供呼吸测量，适用于成人、小儿和新生儿。呼吸测量范围：1-200rpm。（提供产品说明书或检测报告证明文件）</w:t>
            </w:r>
          </w:p>
          <w:p w14:paraId="4936231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10.配置无创血压测量，适用于成人，小儿和新生儿。</w:t>
            </w:r>
          </w:p>
          <w:p w14:paraId="09A9FA7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11.提供双通道体温和温差参数的监测，并可根据需要更改体温通道标名。</w:t>
            </w:r>
          </w:p>
          <w:p w14:paraId="70B4F40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12.支持≥1000组NIBP测量结果。</w:t>
            </w:r>
          </w:p>
          <w:p w14:paraId="6C1DBB4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13.具有图形化技术报警指示功能，帮助医护团队快速识别报警来源。</w:t>
            </w:r>
          </w:p>
          <w:p w14:paraId="0F1EC78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14.监护仪主机工作温度环境范围：0～40°C。（提供产品说明书或检测报告证明文件）</w:t>
            </w:r>
          </w:p>
          <w:p w14:paraId="25AD7AB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15.安全规格：ECG,TEMP,IBP,SpO2,NIBP监测参数抗电击程度为防除颤CF型。</w:t>
            </w:r>
          </w:p>
          <w:p w14:paraId="287705F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16.支持所有监测参数报警限一键自动设置功能，满足医护团队快速管理患者报警需求。</w:t>
            </w:r>
          </w:p>
          <w:p w14:paraId="14768F6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17.支持格拉斯哥昏迷评分（GCS）功能。</w:t>
            </w:r>
          </w:p>
          <w:p w14:paraId="6ACC026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18.提供屏幕截图功能，将屏幕截图通过USB接口导出到U盘。</w:t>
            </w:r>
          </w:p>
        </w:tc>
      </w:tr>
      <w:tr w14:paraId="2E57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4206B32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w:t>
            </w:r>
          </w:p>
        </w:tc>
        <w:tc>
          <w:tcPr>
            <w:tcW w:w="1410" w:type="dxa"/>
            <w:vAlign w:val="center"/>
          </w:tcPr>
          <w:p w14:paraId="0FDC5A9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电动吸引器</w:t>
            </w:r>
          </w:p>
        </w:tc>
        <w:tc>
          <w:tcPr>
            <w:tcW w:w="7056" w:type="dxa"/>
            <w:vAlign w:val="center"/>
          </w:tcPr>
          <w:p w14:paraId="3498F1E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1.配置：电动吸引器由活塞泵、真空表、负压调节器、空气过滤器、贮液瓶、吸引管道、脚踏开关组成。</w:t>
            </w:r>
          </w:p>
          <w:p w14:paraId="57C3E0D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2.极限负压值≥0.08Mpa</w:t>
            </w:r>
          </w:p>
          <w:p w14:paraId="3376F1D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3.负压调节范围：20kPa－极限负压值</w:t>
            </w:r>
          </w:p>
          <w:p w14:paraId="2F9B2D4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4.抽气速率≥20L/MIN</w:t>
            </w:r>
          </w:p>
          <w:p w14:paraId="461B67E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5.贮液瓶：≥2500ml/只，2只一组</w:t>
            </w:r>
          </w:p>
          <w:p w14:paraId="5550FF4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6.噪音：≤60dB（A）</w:t>
            </w:r>
          </w:p>
        </w:tc>
      </w:tr>
      <w:tr w14:paraId="7667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5962ED91">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w:t>
            </w:r>
          </w:p>
        </w:tc>
        <w:tc>
          <w:tcPr>
            <w:tcW w:w="1410" w:type="dxa"/>
            <w:vAlign w:val="center"/>
          </w:tcPr>
          <w:p w14:paraId="0DA8938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电子体重秤</w:t>
            </w:r>
          </w:p>
        </w:tc>
        <w:tc>
          <w:tcPr>
            <w:tcW w:w="7056" w:type="dxa"/>
            <w:vAlign w:val="center"/>
          </w:tcPr>
          <w:p w14:paraId="7F12801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1.称重范围：0-200kg，分度值：100g</w:t>
            </w:r>
          </w:p>
          <w:p w14:paraId="5ED2E15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2.带去皮功能</w:t>
            </w:r>
          </w:p>
          <w:p w14:paraId="382C7AE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3.身高测量范围：70～190cm，分度值：0.5cm</w:t>
            </w:r>
          </w:p>
          <w:p w14:paraId="58D81F5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4.称重台面尺寸：≥400*280mm</w:t>
            </w:r>
          </w:p>
          <w:p w14:paraId="6FB119F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5.使用环境：温度0℃℃~40℃，湿度≤90%RH7</w:t>
            </w:r>
          </w:p>
          <w:p w14:paraId="4E2A365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6.显示：LCD（带背光）</w:t>
            </w:r>
          </w:p>
        </w:tc>
      </w:tr>
      <w:tr w14:paraId="0864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10BA97F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w:t>
            </w:r>
          </w:p>
        </w:tc>
        <w:tc>
          <w:tcPr>
            <w:tcW w:w="1410" w:type="dxa"/>
            <w:vAlign w:val="center"/>
          </w:tcPr>
          <w:p w14:paraId="2BEAACD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多频振动排痰机</w:t>
            </w:r>
          </w:p>
        </w:tc>
        <w:tc>
          <w:tcPr>
            <w:tcW w:w="7056" w:type="dxa"/>
            <w:vAlign w:val="center"/>
          </w:tcPr>
          <w:p w14:paraId="2C786FB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w:t>
            </w:r>
          </w:p>
          <w:p w14:paraId="5CA729C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通过振动叩击，改善患者肺部血液循环状况、协助排出呼吸道分泌物。通过电机驱动的振动器产生高频振动，在人体表面产生特定方向周期变化的治疗力，这些振动的治疗力传导到患者的胸部或背部，作用于呼吸道。垂直方向治疗力产生的叩击、震颤可促使呼吸道黏膜表面粘液代谢物松动、液化；水平方向治疗力产生的定向挤推、震颤帮助已经液化的粘液按照既定方向排出体外。</w:t>
            </w:r>
          </w:p>
          <w:p w14:paraId="1E4C6AA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0668F89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1.传动软轴长：1800mm，允差±10%。</w:t>
            </w:r>
          </w:p>
          <w:p w14:paraId="737A4E3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2.显示方式：≥10英寸液晶触摸显示。</w:t>
            </w:r>
          </w:p>
          <w:p w14:paraId="63B7A33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3.工作模式：</w:t>
            </w:r>
          </w:p>
          <w:p w14:paraId="7279C30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4.手动治疗模式：可手动设置治疗时间和治疗频率。频率10Hz～60Hz可调，时间为1min～60min可调；步进为1min。</w:t>
            </w:r>
          </w:p>
          <w:p w14:paraId="65F042C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5.自定义处方模式：可自定义工作时间和治疗频率并存储≥100个处方。</w:t>
            </w:r>
          </w:p>
          <w:p w14:paraId="2B48B8B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6.处方治疗模式：≥6个治疗处方。</w:t>
            </w:r>
          </w:p>
          <w:p w14:paraId="4A1DD26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7.振动幅度：5mm，允差±20%。</w:t>
            </w:r>
          </w:p>
          <w:p w14:paraId="7AD8A52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8.治疗头：≥8个。</w:t>
            </w:r>
          </w:p>
          <w:p w14:paraId="12BF309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A型直径：64mm，厚：51mm，允差±10mm。</w:t>
            </w:r>
          </w:p>
          <w:p w14:paraId="37254F4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B型直径：74mm，厚：51mm，允差±10mm。</w:t>
            </w:r>
          </w:p>
          <w:p w14:paraId="6DF9EB2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C型直径：86mm，厚：51mm，允差±10mm。</w:t>
            </w:r>
          </w:p>
          <w:p w14:paraId="3ACEA03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D型厚：55mm，长：103mm，宽：103mm，允差±10mm。</w:t>
            </w:r>
          </w:p>
          <w:p w14:paraId="58EBDFD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E型厚：55mm，长：132mm，宽：65mm，允差±10mm。</w:t>
            </w:r>
          </w:p>
          <w:p w14:paraId="17757C1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F型厚：40mm，外径：105mm，允差±10mm。</w:t>
            </w:r>
          </w:p>
          <w:p w14:paraId="5F8C7F1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G型厚：50mm，外径：70mm，允差±10mm。</w:t>
            </w:r>
          </w:p>
          <w:p w14:paraId="3E00C0C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H型厚：50mm，长：106mm，宽：100mm，允差±10mm。</w:t>
            </w:r>
          </w:p>
          <w:p w14:paraId="5B24770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9.动力头：内径45mm，直径55mm，厚80mm，允差±10mm。</w:t>
            </w:r>
          </w:p>
          <w:p w14:paraId="7CA980B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10.功能：</w:t>
            </w:r>
          </w:p>
          <w:p w14:paraId="57944C2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10.1、操作过程中，叩击头手柄相对传动软轴应能360°自由转动。</w:t>
            </w:r>
          </w:p>
          <w:p w14:paraId="74F71F4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10.2、在≥2kg负载的作用下，叩击头应能保持正常工作状态。</w:t>
            </w:r>
          </w:p>
          <w:p w14:paraId="7E2CF6A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11.使用期限≥8年</w:t>
            </w:r>
          </w:p>
        </w:tc>
      </w:tr>
      <w:tr w14:paraId="668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5B9D5E0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w:t>
            </w:r>
          </w:p>
        </w:tc>
        <w:tc>
          <w:tcPr>
            <w:tcW w:w="1410" w:type="dxa"/>
            <w:vAlign w:val="center"/>
          </w:tcPr>
          <w:p w14:paraId="4744D09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红光治疗仪</w:t>
            </w:r>
          </w:p>
        </w:tc>
        <w:tc>
          <w:tcPr>
            <w:tcW w:w="7056" w:type="dxa"/>
            <w:vAlign w:val="center"/>
          </w:tcPr>
          <w:p w14:paraId="7D7251C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w:t>
            </w:r>
          </w:p>
          <w:p w14:paraId="7A5B39B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适用于消炎、镇痛，对体表创面有止渗液、促进肉芽组织生长、加速愈合的作用。采用微电脑控制，利用红光的光化学作用照射于患处，使组织温度升高，毛细血管扩张，血流加快，增加细胞的新陈代谢，促进细胞合成，增加细胞的吞噬功能，消除肿胀，促进炎症消散，达到镇痛的作用。</w:t>
            </w:r>
          </w:p>
          <w:p w14:paraId="66623BA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4D74A6A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1.光源类型：矩阵集成高功率半导体固态光源。</w:t>
            </w:r>
          </w:p>
          <w:p w14:paraId="2C30C8A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2.治疗时间：1～60min可调，步进1min。</w:t>
            </w:r>
          </w:p>
          <w:p w14:paraId="398F80B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3.时间记忆：具备智能化时间记忆功能，具备自动设定设备治疗时间一键启动功能。</w:t>
            </w:r>
          </w:p>
          <w:p w14:paraId="2B751A1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4.能量调节方式：三级能量调节。</w:t>
            </w:r>
          </w:p>
          <w:p w14:paraId="51B5E7E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a.第1档，有效红光辐照度为21mw/cm²，允差±25%。</w:t>
            </w:r>
          </w:p>
          <w:p w14:paraId="0587AA6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b.第2档，有效红光辐照度为34mW/cm²，允差±25%。</w:t>
            </w:r>
          </w:p>
          <w:p w14:paraId="25E3696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c.第3档，有效红光辐照度为60mW/cm²，允差±25%。</w:t>
            </w:r>
          </w:p>
          <w:p w14:paraId="7114CA0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5.波长范围：620nm-700nm</w:t>
            </w:r>
          </w:p>
          <w:p w14:paraId="4471F70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6.光功率密度：在距离光杯口≥15cm处测量时＞60mW/cm²。</w:t>
            </w:r>
          </w:p>
          <w:p w14:paraId="7889F02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7.有效辐照面积：≥350cm²。</w:t>
            </w:r>
          </w:p>
          <w:p w14:paraId="54CFE91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8.操作面板：≥7英寸电容液晶触摸屏、智能触控操作。</w:t>
            </w:r>
          </w:p>
          <w:p w14:paraId="371F942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9.辐照度均匀性：采用光学透镜式聚光设计，有效红光辐照度的均匀性＞0.7。</w:t>
            </w:r>
          </w:p>
          <w:p w14:paraId="00C3C76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10.皮肤温度动态管理：内置无线测温模块，实时监测及显示治疗面皮肤温度。可自主设置报警阈值，高于阈值自动停止输出并发出提示报警声音。</w:t>
            </w:r>
          </w:p>
          <w:p w14:paraId="05E6BF0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11.支臂结构：可根据灯头重力无级调节支撑力度，保证治疗时光源稳定性，定位精准、操作简便。</w:t>
            </w:r>
          </w:p>
          <w:p w14:paraId="3B7D940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12.支臂活动范围：支臂长度：≥700mm。垂直调节角度30°～160°。水平调节角度0～180°。</w:t>
            </w:r>
          </w:p>
          <w:p w14:paraId="457B47C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13.输出通道：单通道输出，采用三维立体灯头旋转设计，辐射面积更广。</w:t>
            </w:r>
          </w:p>
          <w:p w14:paraId="61AD610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14.安全设计：防倾倒设计，倾倒自动断电。</w:t>
            </w:r>
          </w:p>
          <w:p w14:paraId="5F57AAB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15.漏电保护：具有自动漏电保护功能。</w:t>
            </w:r>
          </w:p>
          <w:p w14:paraId="41CD515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16.使用期限≥8年</w:t>
            </w:r>
          </w:p>
        </w:tc>
      </w:tr>
      <w:tr w14:paraId="689B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0DCCBD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w:t>
            </w:r>
          </w:p>
        </w:tc>
        <w:tc>
          <w:tcPr>
            <w:tcW w:w="1410" w:type="dxa"/>
            <w:vAlign w:val="center"/>
          </w:tcPr>
          <w:p w14:paraId="059E47F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空气波压力治疗仪</w:t>
            </w:r>
          </w:p>
        </w:tc>
        <w:tc>
          <w:tcPr>
            <w:tcW w:w="7056" w:type="dxa"/>
            <w:vAlign w:val="center"/>
          </w:tcPr>
          <w:p w14:paraId="67BE7E0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w:t>
            </w:r>
          </w:p>
          <w:p w14:paraId="33056D1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适用于预防静脉血栓形成，减轻肢体水肿，脑血管意外、脑外伤、脑手术后引起的肢体功能障碍和外周非栓塞性脉管炎的辅助治疗。通过多腔气囊有顺序的反复充放气，形成了对肢体和组织的压力，达到促进体内血液的流动、淋巴循环及改善体内微循环的作用。</w:t>
            </w:r>
          </w:p>
          <w:p w14:paraId="2E01278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2AD8E32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1.操作方式：数码显示，按键控制。</w:t>
            </w:r>
          </w:p>
          <w:p w14:paraId="7297A31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2.气囊腔数：单侧≥4腔气囊，双侧≥8腔气囊，配备双下肢气囊。</w:t>
            </w:r>
          </w:p>
          <w:p w14:paraId="56E61A8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3、压力范围：0kPa～27kPa（0mmHg～203mmHg），步进1kPa。</w:t>
            </w:r>
          </w:p>
          <w:p w14:paraId="69A96E2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4.压力调节：采用数据采集技术，快速识别压力值，利用旋钮电位器进行快速压力调节。</w:t>
            </w:r>
          </w:p>
          <w:p w14:paraId="3A85233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5.零压跳过：在有创面或压力治疗禁忌的部位，可选择关闭该位置的气囊压力。</w:t>
            </w:r>
          </w:p>
          <w:p w14:paraId="64545B8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6.治疗时间：1min～99min自由设置。</w:t>
            </w:r>
          </w:p>
          <w:p w14:paraId="73317B9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7.提示与警示：具备过压保护提示功能。</w:t>
            </w:r>
          </w:p>
          <w:p w14:paraId="74D92FA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8.自动泄压功能：达到阈值时、突然断电或中断治疗时，气囊可自动泄压。</w:t>
            </w:r>
          </w:p>
          <w:p w14:paraId="35280A9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9.安全保护功能：配备紧急功能开关，遇到紧急情况可以进行紧急停止。</w:t>
            </w:r>
          </w:p>
          <w:p w14:paraId="565A12E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10.静音治疗：设备使用噪声不超过60dB（A）。</w:t>
            </w:r>
          </w:p>
          <w:p w14:paraId="658A708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11.压强监测：内置压强检测模块，实时监测工作状态下压强。</w:t>
            </w:r>
          </w:p>
          <w:p w14:paraId="1D04D25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12.设备可移动或配备移动装置</w:t>
            </w:r>
          </w:p>
          <w:p w14:paraId="48EDA9A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13.使用期限≥8年</w:t>
            </w:r>
          </w:p>
        </w:tc>
      </w:tr>
      <w:tr w14:paraId="1CDD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AC8299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w:t>
            </w:r>
          </w:p>
        </w:tc>
        <w:tc>
          <w:tcPr>
            <w:tcW w:w="1410" w:type="dxa"/>
            <w:vAlign w:val="center"/>
          </w:tcPr>
          <w:p w14:paraId="1898057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轮椅</w:t>
            </w:r>
          </w:p>
        </w:tc>
        <w:tc>
          <w:tcPr>
            <w:tcW w:w="7056" w:type="dxa"/>
            <w:vAlign w:val="center"/>
          </w:tcPr>
          <w:p w14:paraId="01BA008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1.车架材质：碳素钢管钢质材料，钢管直径≥22mm，厚度≥1.0mm;</w:t>
            </w:r>
          </w:p>
          <w:p w14:paraId="57454A7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2.表面处理：表面喷涂处理，美观耐用；</w:t>
            </w:r>
          </w:p>
          <w:p w14:paraId="2026F35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3.面料：采用牛津布面料，多层裁制；</w:t>
            </w:r>
          </w:p>
          <w:p w14:paraId="39F8420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4.轮椅最大承重：≥90KG</w:t>
            </w:r>
          </w:p>
          <w:p w14:paraId="65A7A41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5.靠背高度：≥42cm</w:t>
            </w:r>
          </w:p>
          <w:p w14:paraId="788954F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6.座位深度：≥41cm</w:t>
            </w:r>
          </w:p>
          <w:p w14:paraId="6C5ED6E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7.座位宽度：≥46cm</w:t>
            </w:r>
          </w:p>
          <w:p w14:paraId="22AA1C4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8.座位高度：≥53cm</w:t>
            </w:r>
          </w:p>
          <w:p w14:paraId="63E58E0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9.扶手高度：≥71cm</w:t>
            </w:r>
          </w:p>
          <w:p w14:paraId="2C657C6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10.前轮：≥7寸实心轮</w:t>
            </w:r>
          </w:p>
          <w:p w14:paraId="0810275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11.后轮：≥24寸实心胎辐条轮</w:t>
            </w:r>
          </w:p>
          <w:p w14:paraId="6A5628F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12.刹车：采用上下四刹设计，上方两个护理刹车，下方两个驻车刹车；</w:t>
            </w:r>
          </w:p>
          <w:p w14:paraId="4A4AFCA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13.前腿可拆卸</w:t>
            </w:r>
          </w:p>
        </w:tc>
      </w:tr>
      <w:tr w14:paraId="7B4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43BEA5E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w:t>
            </w:r>
          </w:p>
        </w:tc>
        <w:tc>
          <w:tcPr>
            <w:tcW w:w="1410" w:type="dxa"/>
            <w:vAlign w:val="center"/>
          </w:tcPr>
          <w:p w14:paraId="5B5ADD3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手术辅助照明灯（9孔）</w:t>
            </w:r>
          </w:p>
        </w:tc>
        <w:tc>
          <w:tcPr>
            <w:tcW w:w="7056" w:type="dxa"/>
            <w:vAlign w:val="center"/>
          </w:tcPr>
          <w:p w14:paraId="7F2CFCB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一、配置：由灯头、灯头调节握把、升降调节旋钮、立柱、脚踏开关、底座组成，为移动式。</w:t>
            </w:r>
          </w:p>
          <w:p w14:paraId="01BCE41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237F8B8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1.≥9组LED灯头</w:t>
            </w:r>
          </w:p>
          <w:p w14:paraId="7974324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2.手术辅助照明灯的外壳应平整，不得有明显的凹凸、裂纹和锋棱，过渡处的轮廓应清晰，气孔应均匀分布并且畅通。</w:t>
            </w:r>
          </w:p>
          <w:p w14:paraId="2FF2676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3.手术辅助照明灯升降调节应灵活，各零部件应配合良好，经紧固后，不得有松动现象。</w:t>
            </w:r>
          </w:p>
          <w:p w14:paraId="59B7262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4.手术辅助照明灯的升降臂及灯头动作范围：</w:t>
            </w:r>
          </w:p>
          <w:p w14:paraId="615BF32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升降臂绕固定座旋转：320°±5°；</w:t>
            </w:r>
          </w:p>
          <w:p w14:paraId="44BA1D5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灯头绕灯头臂旋转（水平）：75°±5°</w:t>
            </w:r>
          </w:p>
          <w:p w14:paraId="262894F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灯头绕灯头臂旋转（垂直）：75°±5°</w:t>
            </w:r>
          </w:p>
          <w:p w14:paraId="451910E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5.手术辅助照明灯的升降距离：</w:t>
            </w:r>
          </w:p>
          <w:p w14:paraId="7DBEFE9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升降距离应不小于550mm（灯面离地最小距离为1000mm）</w:t>
            </w:r>
          </w:p>
          <w:p w14:paraId="3DAF88C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6.手术辅助照明灯的中心照度：</w:t>
            </w:r>
          </w:p>
          <w:p w14:paraId="34C2DB6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中心照度应不低于30000Lx。</w:t>
            </w:r>
          </w:p>
          <w:p w14:paraId="4800375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7.手术辅助照明灯的色温：</w:t>
            </w:r>
          </w:p>
          <w:p w14:paraId="5C409F1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色温应在Tc：5000K±500K范围内。</w:t>
            </w:r>
          </w:p>
        </w:tc>
      </w:tr>
      <w:tr w14:paraId="4DFE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601F53B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w:t>
            </w:r>
          </w:p>
        </w:tc>
        <w:tc>
          <w:tcPr>
            <w:tcW w:w="1410" w:type="dxa"/>
            <w:vAlign w:val="center"/>
          </w:tcPr>
          <w:p w14:paraId="73CD147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输液车</w:t>
            </w:r>
          </w:p>
        </w:tc>
        <w:tc>
          <w:tcPr>
            <w:tcW w:w="7056" w:type="dxa"/>
            <w:vAlign w:val="center"/>
          </w:tcPr>
          <w:p w14:paraId="699FC2E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1.配备≥两排输液挂钩</w:t>
            </w:r>
          </w:p>
          <w:p w14:paraId="160B024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2.双抽屉设计，方便存放各类物品</w:t>
            </w:r>
          </w:p>
          <w:p w14:paraId="4221387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3.采用优质201#不锈钢管及不锈钢板经焊接组装而成，耐腐蚀。</w:t>
            </w:r>
          </w:p>
          <w:p w14:paraId="680E3B1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4.焊接牢固，表面光滑，易擦洗、不生锈；</w:t>
            </w:r>
          </w:p>
          <w:p w14:paraId="68978F1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5.焊缝应均匀牢固，无烧损、冷裂、漏焊等缺陷，</w:t>
            </w:r>
          </w:p>
          <w:p w14:paraId="2CC1720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6.各焊接部位打磨平整，抛光均匀；</w:t>
            </w:r>
          </w:p>
          <w:p w14:paraId="34834C5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7.外观美观平整、端正，表面无锋棱、毛刺等明显缺陷； </w:t>
            </w:r>
          </w:p>
          <w:p w14:paraId="51286D4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8.采用万向轮4只，高耐磨，无噪声，稳定性好，推动轻松灵活，无蛇行行走及异常噪声。</w:t>
            </w:r>
          </w:p>
          <w:p w14:paraId="6EA2385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配置清单：</w:t>
            </w:r>
          </w:p>
          <w:p w14:paraId="1C81D54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污物桶≥1个</w:t>
            </w:r>
          </w:p>
          <w:p w14:paraId="09B2C6B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挂钩≥16个</w:t>
            </w:r>
          </w:p>
        </w:tc>
      </w:tr>
      <w:tr w14:paraId="4B8C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042D2D8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w:t>
            </w:r>
          </w:p>
        </w:tc>
        <w:tc>
          <w:tcPr>
            <w:tcW w:w="1410" w:type="dxa"/>
            <w:vAlign w:val="center"/>
          </w:tcPr>
          <w:p w14:paraId="08DDA05F">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紫外线空气消毒器</w:t>
            </w:r>
          </w:p>
        </w:tc>
        <w:tc>
          <w:tcPr>
            <w:tcW w:w="7056" w:type="dxa"/>
            <w:vAlign w:val="center"/>
          </w:tcPr>
          <w:p w14:paraId="7369864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14:paraId="49F57BE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10CCFDB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1.采用紫外线消毒，杀菌广谱、彻底；内含过滤器，可过滤毛发、粉尘等大尘埃颗粒，去除有机气体和医院药水等各种异味；</w:t>
            </w:r>
          </w:p>
          <w:p w14:paraId="2FAEFF5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2.紫外线空气消毒器壳体采用优质钣金外壳加喷塑，结构强度高；移动方便、防尘效果好、使用寿命长、安全系数高；</w:t>
            </w:r>
          </w:p>
          <w:p w14:paraId="3D32B88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3.4个万向脚轮，可任意移动；</w:t>
            </w:r>
          </w:p>
          <w:p w14:paraId="2E4545A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4.人机共存，可在有人状态下进行连续动态消毒，对人及物品没有任何伤害；</w:t>
            </w:r>
          </w:p>
          <w:p w14:paraId="2CA954C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5.额定循环风量≥1000m³/h，可适用100m³体积及以下的场所；</w:t>
            </w:r>
          </w:p>
          <w:p w14:paraId="61B0AF6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7.紫外线杀菌灯寿命≥8000h；</w:t>
            </w:r>
          </w:p>
          <w:p w14:paraId="51282D9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8.配备负离子发生器，所产生负离子密度≥6×106个/cm3。</w:t>
            </w:r>
          </w:p>
          <w:p w14:paraId="51AB1EF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9.光触媒抗菌除异味，采用电镜平均粒径≤10nm的锐钛型二氧化钛做光触媒，可有效地降解甲醛、苯、甲苯、二甲苯、TVOC等污染物，并具有高效广谱的消毒性能，能够杀灭和抑制细菌、真菌和病毒的存活。</w:t>
            </w:r>
          </w:p>
          <w:p w14:paraId="0B46FA8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10.液晶显示屏，远程红外线遥控，可实时显示北京时间，定时时间段、定时时间，室内温湿度，故障报警，可查询显示累计时间等；</w:t>
            </w:r>
          </w:p>
          <w:p w14:paraId="217A21F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 xml:space="preserve">11.高、中、低三档可调风速供用户选择；手控、遥控多种控制方式供用户选择；手动、定时、临时多种工作模式方便用户操作；控制器上设有一键锁定功能，防止误操作； </w:t>
            </w:r>
          </w:p>
          <w:p w14:paraId="4057388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12.程控数量（定时消毒）≥6组，具备工作时间自动累计功能；</w:t>
            </w:r>
          </w:p>
          <w:p w14:paraId="7657A4D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13.具有报警功能，紫外线消毒模块故障报警、过滤器清洗维护报警、风机故障报警；</w:t>
            </w:r>
          </w:p>
          <w:p w14:paraId="29A5474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14.消毒效果要求：（提供证明资料）</w:t>
            </w:r>
          </w:p>
          <w:p w14:paraId="7408C95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1）设备持续工作30min，白色葡萄球菌的杀灭率≥99.90%；</w:t>
            </w:r>
          </w:p>
          <w:p w14:paraId="69EADD8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2）设备持续运行30min，对铜绿假单胞菌杀灭率≥99.98%，对龟分枝杆菌杀灭率≥99.99%，对黑曲霉菌杀灭率≥99.95%；</w:t>
            </w:r>
          </w:p>
          <w:p w14:paraId="25A496B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3）设备持续运行60min，对枯草杆菌黑色变种芽孢杀灭率≥99.99%；</w:t>
            </w:r>
          </w:p>
          <w:p w14:paraId="23AC561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4）设备持续工作60min，对体积为100m3室内空气中的自然菌消亡率≥90%；</w:t>
            </w:r>
          </w:p>
          <w:p w14:paraId="6A55E9D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5）设备持续工作60min，对金黄色葡萄球菌杀灭率＞99.99%，对肺炎克雷伯氏菌杀灭率＞99.99%，对大肠杆菌杀灭率＞99.99%；</w:t>
            </w:r>
          </w:p>
          <w:p w14:paraId="2223CB3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6）设备持续工作60min，对冠状病毒HCoV-229E杀灭率＞99.99%，对甲型流感病毒H1N1杀灭率＞99.99%；</w:t>
            </w:r>
          </w:p>
          <w:p w14:paraId="6434E6E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7）设备持续工作60min，对气雾室鼠伤寒沙门氏菌、粘质沙雷氏菌、乙型溶血性链球菌杀灭率＞99.9%；</w:t>
            </w:r>
          </w:p>
          <w:p w14:paraId="45FE1A0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8）设备持续工作60min，对气雾室新型冠状病毒SARS-CoV-2杀灭率＞99.9%；</w:t>
            </w:r>
          </w:p>
          <w:p w14:paraId="5EE23BC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9）设备持续工作60min，对气雾室脊髓灰质炎病毒杀灭率＞99.99%；</w:t>
            </w:r>
          </w:p>
          <w:p w14:paraId="45441C9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10）设备持续工作60min，对气雾室白色念珠菌杀灭率＞99.9%。</w:t>
            </w:r>
          </w:p>
          <w:p w14:paraId="7D0B28E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紫外线空气消毒器配置清单：</w:t>
            </w:r>
          </w:p>
          <w:p w14:paraId="3290E0D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1.主机1台（含电源线）</w:t>
            </w:r>
          </w:p>
          <w:p w14:paraId="425EF37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2.遥控器1只</w:t>
            </w:r>
          </w:p>
          <w:p w14:paraId="5279040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3.说明书1本</w:t>
            </w:r>
          </w:p>
          <w:p w14:paraId="17F4513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4.合格证1张</w:t>
            </w:r>
          </w:p>
        </w:tc>
      </w:tr>
      <w:tr w14:paraId="4A21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C0EF18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w:t>
            </w:r>
          </w:p>
        </w:tc>
        <w:tc>
          <w:tcPr>
            <w:tcW w:w="1410" w:type="dxa"/>
            <w:vAlign w:val="center"/>
          </w:tcPr>
          <w:p w14:paraId="70FF42A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治疗车</w:t>
            </w:r>
          </w:p>
        </w:tc>
        <w:tc>
          <w:tcPr>
            <w:tcW w:w="7056" w:type="dxa"/>
            <w:vAlign w:val="center"/>
          </w:tcPr>
          <w:p w14:paraId="4C14E61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1.板面及抽屉材料采用SUS201#不锈钢板材，厚度≥0.8mm</w:t>
            </w:r>
          </w:p>
          <w:p w14:paraId="558E390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2.车体主架采用≥Φ25mm，≥δ0.8mmSUS201#不锈钢管加工、折压、焊接、打磨成型。</w:t>
            </w:r>
          </w:p>
          <w:p w14:paraId="6944B41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3.治疗车分为上下两层，均带有不锈钢护栏，防止物体滑落</w:t>
            </w:r>
          </w:p>
          <w:p w14:paraId="6D73750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4.下方配有杂物桶≥1个，不锈钢管制作的横撑增加车子稳定性。</w:t>
            </w:r>
          </w:p>
          <w:p w14:paraId="46B1B70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5.外型美观，平整、端正、四角平行，表面无锋棱、毛刺等明显缺陷，各焊接部件打磨平整光滑，抛光均匀。</w:t>
            </w:r>
          </w:p>
          <w:p w14:paraId="3E9B5D9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6.带有≥两个抽屉，抽屉滑道采用三节静音式滑轮，抽拉灵活，无噪音。</w:t>
            </w:r>
          </w:p>
          <w:p w14:paraId="62282C5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7.采用万向轮4只，高耐磨，无噪音，稳定性好，推动轻松灵活，无蛇行行走及异常噪音。</w:t>
            </w:r>
          </w:p>
        </w:tc>
      </w:tr>
      <w:tr w14:paraId="19BA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3824E98">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w:t>
            </w:r>
          </w:p>
        </w:tc>
        <w:tc>
          <w:tcPr>
            <w:tcW w:w="1410" w:type="dxa"/>
            <w:vAlign w:val="center"/>
          </w:tcPr>
          <w:p w14:paraId="664047D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检查床</w:t>
            </w:r>
          </w:p>
        </w:tc>
        <w:tc>
          <w:tcPr>
            <w:tcW w:w="7056" w:type="dxa"/>
            <w:vAlign w:val="center"/>
          </w:tcPr>
          <w:p w14:paraId="673BDF9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1.规格：1900*650*630mm±10mm</w:t>
            </w:r>
          </w:p>
          <w:p w14:paraId="76E6635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2.床面采用优质人造革面，内衬高密度海绵</w:t>
            </w:r>
          </w:p>
          <w:p w14:paraId="2FD29BB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3.四只支撑脚采用≥50*50*1.2mm矩管，脚脚间连接管采用≥30*30*1.2mm矩管，采用防滑堵头</w:t>
            </w:r>
          </w:p>
          <w:p w14:paraId="28A3DD9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4.床身美观、牢固，承重≥120kg。</w:t>
            </w:r>
          </w:p>
        </w:tc>
      </w:tr>
    </w:tbl>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时间：2025年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日  15:00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报名供应商现场报价。按最终报价由低到高排序，</w:t>
      </w:r>
      <w:r>
        <w:rPr>
          <w:rFonts w:hint="eastAsia" w:ascii="仿宋_GB2312" w:hAnsi="仿宋_GB2312" w:eastAsia="仿宋_GB2312" w:cs="仿宋_GB2312"/>
          <w:color w:val="auto"/>
          <w:spacing w:val="6"/>
          <w:sz w:val="28"/>
          <w:szCs w:val="28"/>
        </w:rPr>
        <w:t>报价最低者直接确定为成交单位。最终报价相同的组织</w:t>
      </w:r>
      <w:r>
        <w:rPr>
          <w:rFonts w:hint="eastAsia" w:ascii="仿宋_GB2312" w:hAnsi="仿宋_GB2312" w:eastAsia="仿宋_GB2312" w:cs="仿宋_GB2312"/>
          <w:color w:val="auto"/>
          <w:spacing w:val="5"/>
          <w:sz w:val="28"/>
          <w:szCs w:val="28"/>
        </w:rPr>
        <w:t>报价单位抽签确定</w:t>
      </w:r>
      <w:r>
        <w:rPr>
          <w:rFonts w:hint="eastAsia" w:ascii="仿宋_GB2312" w:hAnsi="仿宋_GB2312" w:eastAsia="仿宋_GB2312" w:cs="仿宋_GB2312"/>
          <w:color w:val="auto"/>
          <w:spacing w:val="-4"/>
          <w:sz w:val="28"/>
          <w:szCs w:val="28"/>
        </w:rPr>
        <w:t>成交单位。</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58BE4A1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0F3A4EC7">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2000754">
      <w:pPr>
        <w:bidi w:val="0"/>
        <w:jc w:val="center"/>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签订地点：</w:t>
      </w:r>
      <w:r>
        <w:rPr>
          <w:rFonts w:hint="eastAsia" w:ascii="宋体" w:hAnsi="宋体" w:cs="宋体"/>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根据《中华人民共和国政府采购法》《中华人民共和国民法典》及</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黑体" w:hAnsi="黑体" w:eastAsia="黑体" w:cs="黑体"/>
          <w:sz w:val="24"/>
          <w:lang w:val="en-US" w:eastAsia="zh-CN"/>
        </w:rPr>
      </w:pPr>
      <w:r>
        <w:rPr>
          <w:rFonts w:hint="eastAsia" w:ascii="黑体" w:hAnsi="黑体" w:eastAsia="黑体" w:cs="黑体"/>
          <w:sz w:val="24"/>
          <w:szCs w:val="22"/>
          <w:lang w:val="en-US" w:eastAsia="zh-CN" w:bidi="ar-SA"/>
        </w:rPr>
        <w:t>一、</w:t>
      </w:r>
      <w:r>
        <w:rPr>
          <w:rFonts w:hint="eastAsia" w:ascii="黑体" w:hAnsi="黑体" w:eastAsia="黑体" w:cs="黑体"/>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品牌</w:t>
            </w:r>
            <w:r>
              <w:rPr>
                <w:rFonts w:hint="eastAsia" w:ascii="宋体" w:hAnsi="宋体" w:eastAsia="宋体" w:cs="宋体"/>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总价</w:t>
            </w:r>
            <w:r>
              <w:rPr>
                <w:rFonts w:hint="eastAsia" w:ascii="宋体" w:hAnsi="宋体" w:cs="宋体"/>
                <w:b/>
                <w:bCs/>
                <w:color w:val="auto"/>
                <w:sz w:val="24"/>
                <w:szCs w:val="24"/>
                <w:highlight w:val="none"/>
                <w:lang w:val="en-US" w:eastAsia="zh-CN"/>
              </w:rPr>
              <w:t>（元）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p>
        </w:tc>
      </w:tr>
    </w:tbl>
    <w:p w14:paraId="27AD3307">
      <w:pPr>
        <w:spacing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（注：本合同价格为固定价格，包括但不限于</w:t>
      </w:r>
      <w:r>
        <w:rPr>
          <w:rFonts w:hint="eastAsia" w:ascii="宋体" w:hAnsi="宋体" w:eastAsia="宋体" w:cs="宋体"/>
          <w:sz w:val="24"/>
          <w:lang w:eastAsia="zh-CN"/>
        </w:rPr>
        <w:t>：</w:t>
      </w:r>
      <w:r>
        <w:rPr>
          <w:rFonts w:hint="eastAsia" w:ascii="宋体" w:hAnsi="宋体" w:eastAsia="宋体" w:cs="宋体"/>
          <w:sz w:val="24"/>
          <w:szCs w:val="24"/>
          <w:u w:val="single"/>
          <w:shd w:val="clear" w:color="auto" w:fill="FFFFFF"/>
        </w:rPr>
        <w:t>货款、材料、制造、人工、包装、</w:t>
      </w:r>
      <w:r>
        <w:rPr>
          <w:rFonts w:hint="eastAsia" w:ascii="宋体" w:hAnsi="宋体" w:eastAsia="宋体" w:cs="宋体"/>
          <w:sz w:val="24"/>
          <w:u w:val="single"/>
        </w:rPr>
        <w:t>运输费、</w:t>
      </w:r>
      <w:r>
        <w:rPr>
          <w:rFonts w:hint="eastAsia" w:ascii="宋体" w:hAnsi="宋体" w:eastAsia="宋体" w:cs="宋体"/>
          <w:sz w:val="24"/>
          <w:szCs w:val="24"/>
          <w:u w:val="single"/>
          <w:shd w:val="clear" w:color="auto" w:fill="FFFFFF"/>
        </w:rPr>
        <w:t>安装、调试、检测、维保费、</w:t>
      </w:r>
      <w:r>
        <w:rPr>
          <w:rFonts w:hint="eastAsia" w:ascii="宋体" w:hAnsi="宋体" w:eastAsia="宋体" w:cs="宋体"/>
          <w:sz w:val="24"/>
          <w:u w:val="single"/>
        </w:rPr>
        <w:t>保险费、进院接口费</w:t>
      </w:r>
      <w:r>
        <w:rPr>
          <w:rFonts w:hint="eastAsia" w:ascii="宋体" w:hAnsi="宋体" w:cs="宋体"/>
          <w:sz w:val="24"/>
          <w:u w:val="single"/>
          <w:lang w:eastAsia="zh-CN"/>
        </w:rPr>
        <w:t>、</w:t>
      </w:r>
      <w:r>
        <w:rPr>
          <w:rFonts w:hint="eastAsia" w:ascii="宋体" w:hAnsi="宋体" w:eastAsia="宋体" w:cs="宋体"/>
          <w:sz w:val="24"/>
          <w:u w:val="single"/>
        </w:rPr>
        <w:t>税费</w:t>
      </w:r>
      <w:r>
        <w:rPr>
          <w:rFonts w:hint="eastAsia" w:ascii="宋体" w:hAnsi="宋体" w:cs="宋体"/>
          <w:sz w:val="24"/>
          <w:u w:val="single"/>
          <w:lang w:eastAsia="zh-CN"/>
        </w:rPr>
        <w:t>、</w:t>
      </w:r>
      <w:r>
        <w:rPr>
          <w:rFonts w:hint="eastAsia" w:ascii="宋体" w:hAnsi="宋体" w:cs="宋体"/>
          <w:sz w:val="24"/>
          <w:u w:val="single"/>
          <w:lang w:val="en-US" w:eastAsia="zh-CN"/>
        </w:rPr>
        <w:t>鉴定费以及律师费</w:t>
      </w:r>
      <w:r>
        <w:rPr>
          <w:rFonts w:hint="eastAsia" w:ascii="宋体" w:hAnsi="宋体" w:eastAsia="宋体" w:cs="宋体"/>
          <w:sz w:val="24"/>
          <w:u w:val="single"/>
        </w:rPr>
        <w:t>等全部费用</w:t>
      </w:r>
      <w:r>
        <w:rPr>
          <w:rFonts w:hint="eastAsia" w:ascii="宋体" w:hAnsi="宋体" w:eastAsia="宋体" w:cs="宋体"/>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二、主体资格及知识产权承诺</w:t>
      </w:r>
    </w:p>
    <w:p w14:paraId="6251BF07">
      <w:pPr>
        <w:spacing w:after="156" w:afterLines="50" w:line="360" w:lineRule="auto"/>
        <w:ind w:firstLine="57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三、所购设备配置</w:t>
      </w:r>
    </w:p>
    <w:p w14:paraId="015C479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四、交货时间和地点</w:t>
      </w:r>
    </w:p>
    <w:p w14:paraId="40781E97">
      <w:pPr>
        <w:pStyle w:val="11"/>
        <w:spacing w:line="360" w:lineRule="auto"/>
        <w:ind w:firstLine="480" w:firstLineChars="200"/>
        <w:rPr>
          <w:rFonts w:hint="eastAsia" w:ascii="宋体" w:hAnsi="宋体" w:eastAsia="宋体" w:cs="宋体"/>
        </w:rPr>
      </w:pPr>
      <w:r>
        <w:rPr>
          <w:rFonts w:hint="eastAsia" w:ascii="宋体" w:hAnsi="宋体" w:eastAsia="宋体" w:cs="宋体"/>
        </w:rPr>
        <w:t>合同签订生效后，乙方在</w:t>
      </w:r>
      <w:r>
        <w:rPr>
          <w:rFonts w:hint="eastAsia" w:ascii="宋体" w:hAnsi="宋体" w:eastAsia="宋体" w:cs="宋体"/>
          <w:lang w:eastAsia="zh-CN"/>
        </w:rPr>
        <w:t>（</w:t>
      </w:r>
      <w:r>
        <w:rPr>
          <w:rFonts w:hint="eastAsia" w:ascii="宋体" w:hAnsi="宋体" w:eastAsia="宋体" w:cs="宋体"/>
          <w:sz w:val="21"/>
          <w:szCs w:val="21"/>
          <w:lang w:eastAsia="zh-CN"/>
        </w:rPr>
        <w:t>□</w:t>
      </w:r>
      <w:r>
        <w:rPr>
          <w:rFonts w:hint="eastAsia" w:ascii="宋体" w:hAnsi="宋体" w:eastAsia="宋体" w:cs="宋体"/>
        </w:rPr>
        <w:t>国产30日</w:t>
      </w:r>
      <w:r>
        <w:rPr>
          <w:rFonts w:hint="eastAsia" w:ascii="宋体" w:hAnsi="宋体" w:eastAsia="宋体" w:cs="宋体"/>
          <w:lang w:eastAsia="zh-CN"/>
        </w:rPr>
        <w:t>，</w:t>
      </w:r>
      <w:r>
        <w:rPr>
          <w:rFonts w:hint="eastAsia" w:ascii="宋体" w:hAnsi="宋体" w:eastAsia="宋体" w:cs="宋体"/>
          <w:sz w:val="21"/>
          <w:szCs w:val="21"/>
          <w:lang w:eastAsia="zh-CN"/>
        </w:rPr>
        <w:t>□</w:t>
      </w:r>
      <w:r>
        <w:rPr>
          <w:rFonts w:hint="eastAsia" w:ascii="宋体" w:hAnsi="宋体" w:eastAsia="宋体" w:cs="宋体"/>
        </w:rPr>
        <w:t>进口60日</w:t>
      </w:r>
      <w:r>
        <w:rPr>
          <w:rFonts w:hint="eastAsia" w:ascii="宋体" w:hAnsi="宋体" w:eastAsia="宋体" w:cs="宋体"/>
          <w:lang w:eastAsia="zh-CN"/>
        </w:rPr>
        <w:t>）</w:t>
      </w:r>
      <w:r>
        <w:rPr>
          <w:rFonts w:hint="eastAsia" w:ascii="宋体" w:hAnsi="宋体" w:eastAsia="宋体" w:cs="宋体"/>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五、货物安装及验收</w:t>
      </w:r>
    </w:p>
    <w:p w14:paraId="02D7B9A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color w:val="auto"/>
          <w:sz w:val="24"/>
          <w:szCs w:val="24"/>
          <w:highlight w:val="none"/>
        </w:rPr>
        <w:t>项目在乙方通知安装调试完毕后</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日内初步验收。初步验收合格后，进入试用期；试用期间发生重大质量问题，修复后试用相应顺延；试用期结束后</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lang w:val="en-US" w:eastAsia="zh-CN"/>
        </w:rPr>
        <w:t>个工作</w:t>
      </w:r>
      <w:r>
        <w:rPr>
          <w:rFonts w:hint="eastAsia" w:ascii="宋体" w:hAnsi="宋体" w:eastAsia="宋体" w:cs="宋体"/>
          <w:color w:val="auto"/>
          <w:sz w:val="24"/>
          <w:szCs w:val="24"/>
          <w:highlight w:val="none"/>
        </w:rPr>
        <w:t>日内完成最终验收</w:t>
      </w:r>
      <w:r>
        <w:rPr>
          <w:rFonts w:hint="eastAsia" w:ascii="宋体" w:hAnsi="宋体" w:eastAsia="宋体" w:cs="宋体"/>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.验收标准：按国家有关规定以及甲方</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产品</w:t>
      </w:r>
      <w:r>
        <w:rPr>
          <w:rFonts w:hint="eastAsia" w:ascii="宋体" w:hAnsi="宋体" w:eastAsia="宋体" w:cs="宋体"/>
          <w:sz w:val="24"/>
          <w:lang w:val="en-US" w:eastAsia="zh-CN"/>
        </w:rPr>
        <w:t>需</w:t>
      </w:r>
      <w:r>
        <w:rPr>
          <w:rFonts w:hint="eastAsia" w:ascii="宋体" w:hAnsi="宋体" w:eastAsia="宋体" w:cs="宋体"/>
          <w:sz w:val="24"/>
        </w:rPr>
        <w:t>满足下列</w:t>
      </w:r>
      <w:r>
        <w:rPr>
          <w:rFonts w:hint="eastAsia" w:ascii="宋体" w:hAnsi="宋体" w:eastAsia="宋体" w:cs="宋体"/>
          <w:sz w:val="24"/>
          <w:lang w:eastAsia="zh-CN"/>
        </w:rPr>
        <w:t>内容</w:t>
      </w:r>
      <w:r>
        <w:rPr>
          <w:rFonts w:hint="eastAsia" w:ascii="宋体" w:hAnsi="宋体" w:eastAsia="宋体" w:cs="宋体"/>
          <w:sz w:val="24"/>
        </w:rPr>
        <w:t>：</w:t>
      </w:r>
    </w:p>
    <w:p w14:paraId="25489795">
      <w:pPr>
        <w:spacing w:line="360" w:lineRule="auto"/>
        <w:ind w:firstLine="570"/>
        <w:rPr>
          <w:rFonts w:hint="eastAsia" w:ascii="宋体" w:hAnsi="宋体" w:eastAsia="宋体" w:cs="宋体"/>
          <w:sz w:val="24"/>
        </w:rPr>
      </w:pPr>
      <w:r>
        <w:rPr>
          <w:rFonts w:hint="eastAsia" w:ascii="宋体" w:hAnsi="宋体" w:eastAsia="宋体" w:cs="宋体"/>
          <w:sz w:val="24"/>
        </w:rPr>
        <w:t>（1）本合同及《配置清单》中约定的所有部件之规格及数目。</w:t>
      </w:r>
    </w:p>
    <w:p w14:paraId="1A4639A4">
      <w:pPr>
        <w:spacing w:line="360" w:lineRule="auto"/>
        <w:ind w:firstLine="570"/>
        <w:rPr>
          <w:rFonts w:hint="eastAsia" w:ascii="宋体" w:hAnsi="宋体" w:eastAsia="宋体" w:cs="宋体"/>
          <w:sz w:val="24"/>
        </w:rPr>
      </w:pPr>
      <w:r>
        <w:rPr>
          <w:rFonts w:hint="eastAsia" w:ascii="宋体" w:hAnsi="宋体" w:eastAsia="宋体" w:cs="宋体"/>
          <w:sz w:val="24"/>
        </w:rPr>
        <w:t>（2）招标文件中注明的所有技术参数。</w:t>
      </w:r>
    </w:p>
    <w:p w14:paraId="77893CCA">
      <w:pPr>
        <w:spacing w:line="360" w:lineRule="auto"/>
        <w:ind w:left="73" w:leftChars="35" w:firstLine="480" w:firstLineChars="200"/>
        <w:rPr>
          <w:rFonts w:hint="eastAsia" w:ascii="宋体" w:hAnsi="宋体" w:eastAsia="宋体" w:cs="宋体"/>
          <w:sz w:val="24"/>
        </w:rPr>
      </w:pPr>
      <w:r>
        <w:rPr>
          <w:rFonts w:hint="eastAsia" w:ascii="宋体" w:hAnsi="宋体" w:eastAsia="宋体" w:cs="宋体"/>
          <w:sz w:val="24"/>
        </w:rPr>
        <w:t>（3）产品使用说明、证明产品质量的所有书面文件如</w:t>
      </w:r>
      <w:r>
        <w:rPr>
          <w:rStyle w:val="12"/>
          <w:rFonts w:hint="eastAsia" w:ascii="宋体" w:hAnsi="宋体" w:eastAsia="宋体" w:cs="宋体"/>
          <w:sz w:val="24"/>
        </w:rPr>
        <w:t>质量检验合格证、装箱单、产品安装使用说明书、质保单等，</w:t>
      </w:r>
      <w:r>
        <w:rPr>
          <w:rFonts w:hint="eastAsia" w:ascii="宋体" w:hAnsi="宋体" w:eastAsia="宋体" w:cs="宋体"/>
          <w:sz w:val="24"/>
        </w:rPr>
        <w:t>进口产品具备所有海关手续。</w:t>
      </w:r>
    </w:p>
    <w:p w14:paraId="4E8F41C0">
      <w:pPr>
        <w:spacing w:line="360" w:lineRule="auto"/>
        <w:ind w:left="73" w:leftChars="35" w:firstLine="480" w:firstLineChars="200"/>
        <w:rPr>
          <w:rFonts w:hint="eastAsia" w:ascii="宋体" w:hAnsi="宋体" w:eastAsia="宋体" w:cs="宋体"/>
          <w:sz w:val="24"/>
        </w:rPr>
      </w:pPr>
      <w:r>
        <w:rPr>
          <w:rFonts w:hint="eastAsia" w:ascii="宋体" w:hAnsi="宋体" w:eastAsia="宋体" w:cs="宋体"/>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.验收时如发现所交付的产品有短装、次品、损坏或</w:t>
      </w:r>
      <w:r>
        <w:rPr>
          <w:rFonts w:hint="eastAsia" w:ascii="宋体" w:hAnsi="宋体" w:eastAsia="宋体" w:cs="宋体"/>
          <w:color w:val="auto"/>
          <w:sz w:val="24"/>
          <w:szCs w:val="24"/>
          <w:highlight w:val="none"/>
          <w:lang w:eastAsia="zh-CN"/>
        </w:rPr>
        <w:t>其他不</w:t>
      </w:r>
      <w:r>
        <w:rPr>
          <w:rFonts w:hint="eastAsia" w:ascii="宋体" w:hAnsi="宋体" w:eastAsia="宋体" w:cs="宋体"/>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宋体" w:hAnsi="宋体" w:eastAsia="宋体" w:cs="宋体"/>
          <w:sz w:val="24"/>
        </w:rPr>
        <w:t>乙方应按照本合同第四条约定的期限提供符合上述要求的设备。否则，甲方有权解除合同，并有权按照本合同十一条要求乙方支付违约金。如甲方已支付货款的，乙方</w:t>
      </w:r>
      <w:r>
        <w:rPr>
          <w:rFonts w:hint="eastAsia" w:ascii="宋体" w:hAnsi="宋体" w:eastAsia="宋体" w:cs="宋体"/>
          <w:sz w:val="24"/>
          <w:lang w:val="en-US" w:eastAsia="zh-CN"/>
        </w:rPr>
        <w:t>除支付违约金外还</w:t>
      </w:r>
      <w:r>
        <w:rPr>
          <w:rFonts w:hint="eastAsia" w:ascii="宋体" w:hAnsi="宋体" w:eastAsia="宋体" w:cs="宋体"/>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.如质量验收合格，双方签署政府采购项目验收报告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如具体产品经乙方2次</w:t>
      </w:r>
      <w:r>
        <w:rPr>
          <w:rFonts w:hint="eastAsia" w:ascii="宋体" w:hAnsi="宋体" w:eastAsia="宋体" w:cs="宋体"/>
          <w:color w:val="auto"/>
          <w:sz w:val="24"/>
          <w:szCs w:val="24"/>
          <w:highlight w:val="none"/>
          <w:lang w:val="en-US" w:eastAsia="zh-CN"/>
        </w:rPr>
        <w:t>调换或</w:t>
      </w:r>
      <w:r>
        <w:rPr>
          <w:rFonts w:hint="eastAsia" w:ascii="宋体" w:hAnsi="宋体" w:eastAsia="宋体" w:cs="宋体"/>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项目完成后</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六、人员培训</w:t>
      </w:r>
    </w:p>
    <w:p w14:paraId="3B6ECBA4">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乙方应对甲方工作人员进行免费培训，保证受训人员能熟练操作，并对该</w:t>
      </w:r>
      <w:r>
        <w:rPr>
          <w:rFonts w:hint="eastAsia" w:ascii="宋体" w:hAnsi="宋体" w:eastAsia="宋体" w:cs="宋体"/>
          <w:sz w:val="24"/>
          <w:lang w:eastAsia="zh-CN"/>
        </w:rPr>
        <w:t>设备</w:t>
      </w:r>
      <w:r>
        <w:rPr>
          <w:rFonts w:hint="eastAsia" w:ascii="宋体" w:hAnsi="宋体" w:eastAsia="宋体" w:cs="宋体"/>
          <w:sz w:val="24"/>
        </w:rPr>
        <w:t>进行日常维护。</w:t>
      </w:r>
    </w:p>
    <w:p w14:paraId="3486D75C">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七、质量承诺：</w:t>
      </w:r>
    </w:p>
    <w:p w14:paraId="7AFA8E56">
      <w:pPr>
        <w:spacing w:line="360" w:lineRule="auto"/>
        <w:ind w:firstLine="57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乙方应保证该货物原产地真实，是全新的、未使用过的，标识清楚、权属清楚，质量符合</w:t>
      </w:r>
      <w:r>
        <w:rPr>
          <w:rFonts w:hint="eastAsia" w:ascii="宋体" w:hAnsi="宋体" w:eastAsia="宋体" w:cs="宋体"/>
          <w:sz w:val="24"/>
          <w:lang w:val="en-US" w:eastAsia="zh-CN"/>
        </w:rPr>
        <w:t>或优于</w:t>
      </w:r>
      <w:r>
        <w:rPr>
          <w:rFonts w:hint="eastAsia" w:ascii="宋体" w:hAnsi="宋体" w:eastAsia="宋体" w:cs="宋体"/>
          <w:sz w:val="24"/>
        </w:rPr>
        <w:t>国家</w:t>
      </w:r>
      <w:r>
        <w:rPr>
          <w:rFonts w:hint="eastAsia" w:ascii="宋体" w:hAnsi="宋体" w:eastAsia="宋体" w:cs="宋体"/>
          <w:sz w:val="24"/>
          <w:lang w:eastAsia="zh-CN"/>
        </w:rPr>
        <w:t>（</w:t>
      </w:r>
      <w:r>
        <w:rPr>
          <w:rFonts w:hint="eastAsia" w:ascii="宋体" w:hAnsi="宋体" w:eastAsia="宋体" w:cs="宋体"/>
          <w:sz w:val="24"/>
          <w:lang w:val="en-US" w:eastAsia="zh-CN"/>
        </w:rPr>
        <w:t>行业</w:t>
      </w:r>
      <w:r>
        <w:rPr>
          <w:rFonts w:hint="eastAsia" w:ascii="宋体" w:hAnsi="宋体" w:eastAsia="宋体" w:cs="宋体"/>
          <w:sz w:val="24"/>
          <w:lang w:eastAsia="zh-CN"/>
        </w:rPr>
        <w:t>）</w:t>
      </w:r>
      <w:r>
        <w:rPr>
          <w:rFonts w:hint="eastAsia" w:ascii="宋体" w:hAnsi="宋体" w:eastAsia="宋体" w:cs="宋体"/>
          <w:sz w:val="24"/>
        </w:rPr>
        <w:t>标准（在无国家标准时，符合行业标准，相关标准不一致的，应以较之更为严格的为准），</w:t>
      </w:r>
      <w:r>
        <w:rPr>
          <w:rFonts w:hint="eastAsia" w:ascii="宋体" w:hAnsi="宋体" w:eastAsia="宋体" w:cs="宋体"/>
          <w:color w:val="auto"/>
          <w:sz w:val="24"/>
          <w:szCs w:val="24"/>
          <w:highlight w:val="none"/>
        </w:rPr>
        <w:t>以及本项目</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的质量要求和技术指标与出厂标准</w:t>
      </w:r>
      <w:r>
        <w:rPr>
          <w:rFonts w:hint="eastAsia" w:ascii="宋体" w:hAnsi="宋体" w:eastAsia="宋体" w:cs="宋体"/>
          <w:color w:val="auto"/>
          <w:sz w:val="24"/>
          <w:szCs w:val="24"/>
          <w:highlight w:val="none"/>
          <w:lang w:eastAsia="zh-CN"/>
        </w:rPr>
        <w:t>，</w:t>
      </w:r>
      <w:r>
        <w:rPr>
          <w:rFonts w:hint="eastAsia" w:ascii="宋体" w:hAnsi="宋体" w:eastAsia="宋体" w:cs="宋体"/>
          <w:sz w:val="24"/>
        </w:rPr>
        <w:t>不得以假充真，以次充好。</w:t>
      </w:r>
    </w:p>
    <w:p w14:paraId="3FFD5E84">
      <w:pPr>
        <w:spacing w:line="360" w:lineRule="auto"/>
        <w:ind w:left="-139" w:leftChars="-66" w:firstLine="720" w:firstLineChars="3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在保修期内乙方应保证甲方对该设备的使用达到第（2）种标准：</w:t>
      </w:r>
    </w:p>
    <w:p w14:paraId="186A791B">
      <w:pPr>
        <w:spacing w:line="360" w:lineRule="auto"/>
        <w:ind w:left="-139" w:leftChars="-66" w:firstLine="720" w:firstLineChars="300"/>
        <w:rPr>
          <w:rFonts w:hint="eastAsia" w:ascii="宋体" w:hAnsi="宋体" w:eastAsia="宋体" w:cs="宋体"/>
          <w:sz w:val="24"/>
        </w:rPr>
      </w:pPr>
      <w:r>
        <w:rPr>
          <w:rFonts w:hint="eastAsia" w:ascii="宋体" w:hAnsi="宋体" w:eastAsia="宋体" w:cs="宋体"/>
          <w:sz w:val="24"/>
        </w:rPr>
        <w:t>（1）正常使用时间不少于</w:t>
      </w:r>
      <w:r>
        <w:rPr>
          <w:rFonts w:hint="eastAsia" w:ascii="宋体" w:hAnsi="宋体" w:eastAsia="宋体" w:cs="宋体"/>
          <w:sz w:val="24"/>
          <w:lang w:val="en-US" w:eastAsia="zh-CN"/>
        </w:rPr>
        <w:t xml:space="preserve">  </w:t>
      </w:r>
      <w:r>
        <w:rPr>
          <w:rFonts w:hint="eastAsia" w:ascii="宋体" w:hAnsi="宋体" w:eastAsia="宋体" w:cs="宋体"/>
          <w:sz w:val="24"/>
        </w:rPr>
        <w:t>个工作日；</w:t>
      </w:r>
    </w:p>
    <w:p w14:paraId="66B2CF29">
      <w:pPr>
        <w:spacing w:line="360" w:lineRule="auto"/>
        <w:ind w:left="-139" w:leftChars="-66" w:firstLine="720" w:firstLineChars="300"/>
        <w:rPr>
          <w:rFonts w:hint="eastAsia" w:ascii="宋体" w:hAnsi="宋体" w:eastAsia="宋体" w:cs="宋体"/>
          <w:sz w:val="24"/>
        </w:rPr>
      </w:pPr>
      <w:r>
        <w:rPr>
          <w:rFonts w:hint="eastAsia" w:ascii="宋体" w:hAnsi="宋体" w:eastAsia="宋体" w:cs="宋体"/>
          <w:sz w:val="24"/>
        </w:rPr>
        <w:t xml:space="preserve">（2）因故障停用时间小于 </w:t>
      </w:r>
      <w:r>
        <w:rPr>
          <w:rFonts w:hint="eastAsia" w:ascii="宋体" w:hAnsi="宋体" w:eastAsia="宋体" w:cs="宋体"/>
          <w:sz w:val="24"/>
          <w:u w:val="single"/>
        </w:rPr>
        <w:t xml:space="preserve">  7   </w:t>
      </w:r>
      <w:r>
        <w:rPr>
          <w:rFonts w:hint="eastAsia" w:ascii="宋体" w:hAnsi="宋体" w:eastAsia="宋体" w:cs="宋体"/>
          <w:sz w:val="24"/>
        </w:rPr>
        <w:t>个工作日。</w:t>
      </w:r>
    </w:p>
    <w:p w14:paraId="373992DD">
      <w:pPr>
        <w:spacing w:line="360" w:lineRule="auto"/>
        <w:ind w:left="-139" w:leftChars="-66" w:firstLine="720" w:firstLineChars="300"/>
        <w:rPr>
          <w:rFonts w:hint="eastAsia" w:ascii="宋体" w:hAnsi="宋体" w:eastAsia="宋体" w:cs="宋体"/>
          <w:sz w:val="24"/>
        </w:rPr>
      </w:pPr>
      <w:r>
        <w:rPr>
          <w:rFonts w:hint="eastAsia" w:ascii="宋体" w:hAnsi="宋体" w:eastAsia="宋体" w:cs="宋体"/>
          <w:sz w:val="24"/>
        </w:rPr>
        <w:t>（工作日是按照每年365天，每天24小时进行计算。）</w:t>
      </w:r>
    </w:p>
    <w:p w14:paraId="0BB8ECA4">
      <w:pPr>
        <w:numPr>
          <w:ilvl w:val="0"/>
          <w:numId w:val="0"/>
        </w:numPr>
        <w:spacing w:line="360" w:lineRule="auto"/>
        <w:ind w:left="-139" w:leftChars="-66" w:firstLine="720" w:firstLineChars="300"/>
        <w:rPr>
          <w:rFonts w:hint="eastAsia" w:ascii="宋体" w:hAnsi="宋体" w:eastAsia="宋体" w:cs="宋体"/>
          <w:sz w:val="24"/>
        </w:rPr>
      </w:pPr>
      <w:r>
        <w:rPr>
          <w:rFonts w:hint="eastAsia" w:ascii="宋体" w:hAnsi="宋体" w:eastAsia="宋体" w:cs="宋体"/>
          <w:sz w:val="24"/>
          <w:szCs w:val="22"/>
          <w:lang w:val="en-US" w:eastAsia="zh-CN" w:bidi="ar-SA"/>
        </w:rPr>
        <w:t>3.</w:t>
      </w:r>
      <w:r>
        <w:rPr>
          <w:rFonts w:hint="eastAsia" w:ascii="宋体" w:hAnsi="宋体" w:eastAsia="宋体" w:cs="宋体"/>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宋体" w:hAnsi="宋体" w:eastAsia="宋体" w:cs="宋体"/>
          <w:sz w:val="24"/>
        </w:rPr>
      </w:pPr>
      <w:r>
        <w:rPr>
          <w:rFonts w:hint="eastAsia" w:ascii="宋体" w:hAnsi="宋体" w:eastAsia="宋体" w:cs="宋体"/>
          <w:sz w:val="24"/>
          <w:szCs w:val="22"/>
          <w:lang w:val="en-US" w:eastAsia="zh-CN" w:bidi="ar-SA"/>
        </w:rPr>
        <w:t>5.</w:t>
      </w:r>
      <w:r>
        <w:rPr>
          <w:rFonts w:hint="eastAsia" w:ascii="宋体" w:hAnsi="宋体" w:eastAsia="宋体" w:cs="宋体"/>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八、产品保修及维修：</w:t>
      </w:r>
    </w:p>
    <w:p w14:paraId="36626BA6">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kern w:val="0"/>
          <w:sz w:val="24"/>
          <w:szCs w:val="22"/>
          <w:lang w:val="en-US" w:eastAsia="zh-CN" w:bidi="ar"/>
        </w:rPr>
        <w:t>质保期内，提供7*24小时售后服务，乙方</w:t>
      </w:r>
      <w:r>
        <w:rPr>
          <w:rFonts w:hint="eastAsia" w:ascii="宋体" w:hAnsi="宋体" w:eastAsia="宋体" w:cs="宋体"/>
          <w:color w:val="auto"/>
          <w:sz w:val="24"/>
          <w:szCs w:val="24"/>
          <w:highlight w:val="none"/>
          <w:lang w:val="en-US" w:eastAsia="zh-CN" w:bidi="ar"/>
        </w:rPr>
        <w:t>接到售后服务后30分钟内响应，</w:t>
      </w:r>
      <w:r>
        <w:rPr>
          <w:rFonts w:hint="eastAsia" w:ascii="宋体" w:hAnsi="宋体" w:eastAsia="宋体" w:cs="宋体"/>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4.乙方</w:t>
      </w:r>
      <w:r>
        <w:rPr>
          <w:rFonts w:hint="eastAsia" w:ascii="宋体" w:hAnsi="宋体" w:eastAsia="宋体" w:cs="宋体"/>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szCs w:val="22"/>
          <w:lang w:val="en-US" w:eastAsia="zh-CN" w:bidi="ar"/>
        </w:rPr>
        <w:t>6.</w:t>
      </w:r>
      <w:r>
        <w:rPr>
          <w:rFonts w:hint="eastAsia" w:ascii="宋体" w:hAnsi="宋体" w:eastAsia="宋体" w:cs="宋体"/>
          <w:color w:val="auto"/>
          <w:sz w:val="24"/>
          <w:szCs w:val="24"/>
          <w:highlight w:val="none"/>
          <w:lang w:val="en-US" w:eastAsia="zh-CN" w:bidi="ar"/>
        </w:rPr>
        <w:t>如涉及更换配件的，则所换配件必须是原厂全新的，质保期外提供终身维护</w:t>
      </w:r>
      <w:r>
        <w:rPr>
          <w:rFonts w:hint="eastAsia" w:ascii="宋体" w:hAnsi="宋体" w:eastAsia="宋体" w:cs="宋体"/>
          <w:kern w:val="0"/>
          <w:sz w:val="24"/>
          <w:szCs w:val="22"/>
          <w:lang w:val="en-US" w:eastAsia="zh-CN" w:bidi="ar"/>
        </w:rPr>
        <w:t>或升级技术支持</w:t>
      </w:r>
      <w:r>
        <w:rPr>
          <w:rFonts w:hint="eastAsia" w:ascii="宋体" w:hAnsi="宋体" w:eastAsia="宋体" w:cs="宋体"/>
          <w:color w:val="auto"/>
          <w:sz w:val="24"/>
          <w:szCs w:val="24"/>
          <w:highlight w:val="none"/>
          <w:lang w:val="en-US" w:eastAsia="zh-CN" w:bidi="ar"/>
        </w:rPr>
        <w:t>，设备维修只收取成本费用</w:t>
      </w:r>
      <w:r>
        <w:rPr>
          <w:rFonts w:hint="eastAsia" w:ascii="宋体" w:hAnsi="宋体" w:eastAsia="宋体" w:cs="宋体"/>
          <w:kern w:val="0"/>
          <w:sz w:val="24"/>
          <w:szCs w:val="22"/>
          <w:lang w:val="en-US" w:eastAsia="zh-CN" w:bidi="ar"/>
        </w:rPr>
        <w:t>。</w:t>
      </w:r>
    </w:p>
    <w:p w14:paraId="36F66A31">
      <w:pPr>
        <w:widowControl/>
        <w:spacing w:line="360" w:lineRule="auto"/>
        <w:ind w:firstLine="480" w:firstLineChars="200"/>
        <w:rPr>
          <w:rFonts w:hint="eastAsia" w:ascii="宋体" w:hAnsi="宋体" w:eastAsia="宋体" w:cs="宋体"/>
          <w:kern w:val="0"/>
          <w:sz w:val="24"/>
          <w:szCs w:val="22"/>
          <w:lang w:val="en-US" w:eastAsia="zh-CN" w:bidi="ar"/>
        </w:rPr>
      </w:pPr>
      <w:r>
        <w:rPr>
          <w:rFonts w:hint="eastAsia" w:ascii="宋体" w:hAnsi="宋体" w:eastAsia="宋体" w:cs="宋体"/>
          <w:sz w:val="24"/>
          <w:lang w:val="en-US" w:eastAsia="zh-CN" w:bidi="ar"/>
        </w:rPr>
        <w:t>7.质保期</w:t>
      </w:r>
      <w:r>
        <w:rPr>
          <w:rFonts w:hint="eastAsia" w:ascii="宋体" w:hAnsi="宋体" w:eastAsia="宋体" w:cs="宋体"/>
          <w:sz w:val="24"/>
          <w:lang w:bidi="ar"/>
        </w:rPr>
        <w:t>内</w:t>
      </w:r>
      <w:r>
        <w:rPr>
          <w:rFonts w:hint="eastAsia" w:ascii="宋体" w:hAnsi="宋体" w:eastAsia="宋体" w:cs="宋体"/>
          <w:sz w:val="24"/>
          <w:lang w:eastAsia="zh-CN" w:bidi="ar"/>
        </w:rPr>
        <w:t>，</w:t>
      </w:r>
      <w:r>
        <w:rPr>
          <w:rFonts w:hint="eastAsia" w:ascii="宋体" w:hAnsi="宋体" w:eastAsia="宋体" w:cs="宋体"/>
          <w:sz w:val="24"/>
          <w:lang w:val="en-US" w:eastAsia="zh-CN" w:bidi="ar"/>
        </w:rPr>
        <w:t>设备</w:t>
      </w:r>
      <w:r>
        <w:rPr>
          <w:rFonts w:hint="eastAsia" w:ascii="宋体" w:hAnsi="宋体" w:eastAsia="宋体" w:cs="宋体"/>
          <w:sz w:val="24"/>
          <w:lang w:bidi="ar"/>
        </w:rPr>
        <w:t>单次维修时间超过</w:t>
      </w:r>
      <w:r>
        <w:rPr>
          <w:rFonts w:hint="eastAsia" w:ascii="宋体" w:hAnsi="宋体" w:eastAsia="宋体" w:cs="宋体"/>
          <w:sz w:val="24"/>
          <w:u w:val="none"/>
          <w:lang w:bidi="ar"/>
        </w:rPr>
        <w:t>15</w:t>
      </w:r>
      <w:r>
        <w:rPr>
          <w:rFonts w:hint="eastAsia" w:ascii="宋体" w:hAnsi="宋体" w:eastAsia="宋体" w:cs="宋体"/>
          <w:sz w:val="24"/>
          <w:lang w:bidi="ar"/>
        </w:rPr>
        <w:t>天或非因甲方使用不当导致的同一故障维修累计超过4次，乙方应无条件更换新设备，</w:t>
      </w:r>
      <w:r>
        <w:rPr>
          <w:rFonts w:hint="eastAsia" w:ascii="宋体" w:hAnsi="宋体" w:eastAsia="宋体" w:cs="宋体"/>
          <w:kern w:val="0"/>
          <w:sz w:val="24"/>
          <w:szCs w:val="22"/>
          <w:lang w:val="en-US" w:eastAsia="zh-CN" w:bidi="ar"/>
        </w:rPr>
        <w:t>并对产品质量实行“三包”服务。</w:t>
      </w:r>
      <w:r>
        <w:rPr>
          <w:rFonts w:hint="eastAsia" w:ascii="宋体" w:hAnsi="宋体" w:eastAsia="宋体" w:cs="宋体"/>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九、产品软件升级特别约定</w:t>
      </w:r>
    </w:p>
    <w:p w14:paraId="52673C81">
      <w:pPr>
        <w:spacing w:line="360" w:lineRule="auto"/>
        <w:ind w:firstLine="570"/>
        <w:rPr>
          <w:rFonts w:hint="eastAsia" w:ascii="宋体" w:hAnsi="宋体" w:eastAsia="宋体" w:cs="宋体"/>
          <w:sz w:val="24"/>
        </w:rPr>
      </w:pPr>
      <w:r>
        <w:rPr>
          <w:rFonts w:hint="eastAsia" w:ascii="宋体" w:hAnsi="宋体" w:eastAsia="宋体" w:cs="宋体"/>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项目验收合格后，达到付款条件起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zh-CN" w:eastAsia="zh-CN"/>
        </w:rPr>
        <w:t>日内，支付合同金额的</w:t>
      </w:r>
      <w:r>
        <w:rPr>
          <w:rFonts w:hint="eastAsia" w:ascii="宋体" w:hAnsi="宋体" w:eastAsia="宋体" w:cs="宋体"/>
          <w:color w:val="auto"/>
          <w:sz w:val="24"/>
          <w:szCs w:val="24"/>
          <w:highlight w:val="none"/>
          <w:u w:val="single"/>
          <w:lang w:val="zh-CN" w:eastAsia="zh-CN"/>
        </w:rPr>
        <w:t>9</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zh-CN" w:eastAsia="zh-CN"/>
        </w:rPr>
        <w:t>%</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自验收合格之日起2</w:t>
      </w:r>
      <w:r>
        <w:rPr>
          <w:rFonts w:hint="eastAsia" w:ascii="宋体" w:hAnsi="宋体" w:eastAsia="宋体" w:cs="宋体"/>
          <w:color w:val="auto"/>
          <w:sz w:val="24"/>
          <w:szCs w:val="24"/>
          <w:highlight w:val="none"/>
          <w:lang w:val="zh-CN" w:eastAsia="zh-CN"/>
        </w:rPr>
        <w:t>年后，达到付款条件起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zh-CN" w:eastAsia="zh-CN"/>
        </w:rPr>
        <w:t>日内，支付合同金额的</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zh-CN" w:eastAsia="zh-CN"/>
        </w:rPr>
        <w:t>%</w:t>
      </w:r>
      <w:r>
        <w:rPr>
          <w:rFonts w:hint="eastAsia" w:ascii="宋体" w:hAnsi="宋体" w:eastAsia="宋体" w:cs="宋体"/>
          <w:color w:val="auto"/>
          <w:sz w:val="24"/>
          <w:szCs w:val="24"/>
          <w:highlight w:val="none"/>
          <w:lang w:val="zh-CN" w:eastAsia="zh-CN"/>
        </w:rPr>
        <w:t>。</w:t>
      </w:r>
    </w:p>
    <w:p w14:paraId="29CE206D">
      <w:pPr>
        <w:pStyle w:val="13"/>
        <w:spacing w:line="360" w:lineRule="auto"/>
        <w:ind w:left="0" w:leftChars="0" w:firstLine="480" w:firstLineChars="200"/>
        <w:rPr>
          <w:rFonts w:hint="eastAsia" w:ascii="宋体" w:hAnsi="宋体" w:eastAsia="宋体" w:cs="宋体"/>
          <w:color w:val="auto"/>
          <w:szCs w:val="22"/>
        </w:rPr>
      </w:pPr>
      <w:r>
        <w:rPr>
          <w:rFonts w:hint="eastAsia" w:ascii="宋体" w:hAnsi="宋体" w:eastAsia="宋体" w:cs="宋体"/>
          <w:color w:val="auto"/>
          <w:szCs w:val="22"/>
          <w:lang w:val="en-US" w:eastAsia="zh-CN"/>
        </w:rPr>
        <w:t>2.</w:t>
      </w:r>
      <w:r>
        <w:rPr>
          <w:rFonts w:hint="eastAsia" w:ascii="宋体" w:hAnsi="宋体" w:eastAsia="宋体" w:cs="宋体"/>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1.甲方无正当理由拒收产品的，甲方应偿付合同总价百分之</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2.甲方逾期支付合同价款的，除应及时付足合同价款外，应向乙方偿付欠款总额</w:t>
      </w:r>
      <w:r>
        <w:rPr>
          <w:rFonts w:hint="eastAsia" w:ascii="宋体" w:hAnsi="宋体" w:eastAsia="宋体" w:cs="宋体"/>
          <w:color w:val="auto"/>
          <w:sz w:val="24"/>
          <w:szCs w:val="24"/>
          <w:highlight w:val="none"/>
          <w:lang w:val="en-US" w:eastAsia="zh-CN"/>
        </w:rPr>
        <w:t>千分之一/天</w:t>
      </w:r>
      <w:r>
        <w:rPr>
          <w:rFonts w:hint="eastAsia" w:ascii="宋体" w:hAnsi="宋体" w:eastAsia="宋体" w:cs="宋体"/>
          <w:color w:val="auto"/>
          <w:sz w:val="24"/>
          <w:szCs w:val="24"/>
          <w:highlight w:val="none"/>
        </w:rPr>
        <w:t>的违约金；逾期付款超过</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乙方违约责任</w:t>
      </w:r>
    </w:p>
    <w:p w14:paraId="67E4EEEA">
      <w:pPr>
        <w:pStyle w:val="2"/>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val="en-US" w:eastAsia="zh-CN"/>
        </w:rPr>
        <w:t>.</w:t>
      </w:r>
      <w:r>
        <w:rPr>
          <w:rFonts w:hint="eastAsia" w:ascii="宋体" w:hAnsi="宋体" w:eastAsia="宋体" w:cs="宋体"/>
          <w:bCs/>
          <w:sz w:val="24"/>
        </w:rPr>
        <w:t>乙方未按照合同约定履行</w:t>
      </w:r>
      <w:r>
        <w:rPr>
          <w:rFonts w:hint="eastAsia" w:ascii="宋体" w:hAnsi="宋体" w:eastAsia="宋体" w:cs="宋体"/>
          <w:bCs/>
          <w:sz w:val="24"/>
          <w:lang w:val="en-US" w:eastAsia="zh-CN"/>
        </w:rPr>
        <w:t>供货</w:t>
      </w:r>
      <w:r>
        <w:rPr>
          <w:rFonts w:hint="eastAsia" w:ascii="宋体" w:hAnsi="宋体" w:eastAsia="宋体" w:cs="宋体"/>
          <w:bCs/>
          <w:sz w:val="24"/>
        </w:rPr>
        <w:t>义务，每延迟一天扣合同总价的千分之</w:t>
      </w:r>
      <w:r>
        <w:rPr>
          <w:rFonts w:hint="eastAsia" w:ascii="宋体" w:hAnsi="宋体" w:cs="宋体"/>
          <w:bCs/>
          <w:sz w:val="24"/>
          <w:lang w:val="en-US" w:eastAsia="zh-CN"/>
        </w:rPr>
        <w:t>五</w:t>
      </w:r>
      <w:r>
        <w:rPr>
          <w:rFonts w:hint="eastAsia" w:ascii="宋体" w:hAnsi="宋体" w:eastAsia="宋体" w:cs="宋体"/>
          <w:bCs/>
          <w:sz w:val="24"/>
        </w:rPr>
        <w:t>/天作为违约金支付给甲方。</w:t>
      </w:r>
      <w:r>
        <w:rPr>
          <w:rFonts w:hint="eastAsia" w:ascii="宋体" w:hAnsi="宋体" w:eastAsia="宋体" w:cs="宋体"/>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宋体" w:hAnsi="宋体" w:eastAsia="宋体" w:cs="宋体"/>
          <w:sz w:val="24"/>
          <w:szCs w:val="24"/>
        </w:rPr>
        <w:t>乙方支付的违约金不足以弥补甲方损失的，还应按甲方实际经济损失足额弥补。</w:t>
      </w:r>
      <w:r>
        <w:rPr>
          <w:rFonts w:hint="eastAsia" w:ascii="宋体" w:hAnsi="宋体" w:eastAsia="宋体" w:cs="宋体"/>
          <w:sz w:val="24"/>
        </w:rPr>
        <w:t>如乙方未能及时履行保修义务，每出现一次违约情况，应向甲方按照合同总价的</w:t>
      </w:r>
      <w:r>
        <w:rPr>
          <w:rFonts w:hint="eastAsia" w:ascii="宋体" w:hAnsi="宋体" w:cs="宋体"/>
          <w:sz w:val="24"/>
          <w:lang w:val="en-US" w:eastAsia="zh-CN"/>
        </w:rPr>
        <w:t>百分之五</w:t>
      </w:r>
      <w:r>
        <w:rPr>
          <w:rFonts w:hint="eastAsia" w:ascii="宋体" w:hAnsi="宋体" w:eastAsia="宋体" w:cs="宋体"/>
          <w:sz w:val="24"/>
        </w:rPr>
        <w:t>支付违约金。甲方为保障医疗工作正常进行，有权另行寻找第三方进行维修，产生的相关费用及责任由乙方承担。</w:t>
      </w:r>
    </w:p>
    <w:p w14:paraId="61E7450A">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宋体" w:hAnsi="宋体" w:cs="宋体"/>
          <w:sz w:val="24"/>
          <w:szCs w:val="24"/>
          <w:u w:val="none"/>
          <w:shd w:val="clear" w:color="auto" w:fill="FFFFFF"/>
          <w:lang w:val="en-US" w:eastAsia="zh-CN"/>
        </w:rPr>
        <w:t>百分之十</w:t>
      </w:r>
      <w:r>
        <w:rPr>
          <w:rFonts w:hint="eastAsia" w:ascii="宋体" w:hAnsi="宋体" w:eastAsia="宋体" w:cs="宋体"/>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rPr>
        <w:t>乙方</w:t>
      </w:r>
      <w:r>
        <w:rPr>
          <w:rFonts w:hint="eastAsia" w:ascii="宋体" w:hAnsi="宋体" w:eastAsia="宋体" w:cs="宋体"/>
          <w:sz w:val="24"/>
          <w:lang w:val="en-US" w:eastAsia="zh-CN"/>
        </w:rPr>
        <w:t>设备</w:t>
      </w:r>
      <w:r>
        <w:rPr>
          <w:rFonts w:hint="eastAsia" w:ascii="宋体" w:hAnsi="宋体" w:eastAsia="宋体" w:cs="宋体"/>
          <w:sz w:val="24"/>
        </w:rPr>
        <w:t>安装过程中，应当注意安全。因乙方</w:t>
      </w:r>
      <w:r>
        <w:rPr>
          <w:rFonts w:hint="eastAsia" w:ascii="宋体" w:hAnsi="宋体" w:eastAsia="宋体" w:cs="宋体"/>
          <w:sz w:val="24"/>
          <w:lang w:val="en-US" w:eastAsia="zh-CN"/>
        </w:rPr>
        <w:t>行为</w:t>
      </w:r>
      <w:r>
        <w:rPr>
          <w:rFonts w:hint="eastAsia" w:ascii="宋体" w:hAnsi="宋体" w:eastAsia="宋体" w:cs="宋体"/>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十二、争议解决</w:t>
      </w:r>
    </w:p>
    <w:p w14:paraId="0CDD8C50">
      <w:pPr>
        <w:spacing w:line="360" w:lineRule="auto"/>
        <w:ind w:firstLine="570"/>
        <w:rPr>
          <w:rFonts w:hint="eastAsia" w:ascii="宋体" w:hAnsi="宋体" w:eastAsia="宋体" w:cs="宋体"/>
          <w:sz w:val="24"/>
        </w:rPr>
      </w:pPr>
      <w:r>
        <w:rPr>
          <w:rFonts w:hint="eastAsia" w:ascii="宋体" w:hAnsi="宋体" w:eastAsia="宋体" w:cs="宋体"/>
          <w:sz w:val="24"/>
          <w:lang w:eastAsia="zh-CN"/>
        </w:rPr>
        <w:t>因</w:t>
      </w:r>
      <w:r>
        <w:rPr>
          <w:rFonts w:hint="eastAsia" w:ascii="宋体" w:hAnsi="宋体" w:eastAsia="宋体" w:cs="宋体"/>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宋体" w:hAnsi="宋体" w:eastAsia="宋体" w:cs="宋体"/>
          <w:sz w:val="24"/>
        </w:rPr>
      </w:pPr>
      <w:r>
        <w:rPr>
          <w:rFonts w:hint="eastAsia" w:ascii="黑体" w:hAnsi="黑体" w:eastAsia="黑体" w:cs="黑体"/>
          <w:sz w:val="24"/>
          <w:szCs w:val="22"/>
          <w:lang w:val="en-US" w:eastAsia="zh-CN" w:bidi="ar-SA"/>
        </w:rPr>
        <w:t>十三、</w:t>
      </w:r>
      <w:r>
        <w:rPr>
          <w:rFonts w:hint="eastAsia" w:ascii="宋体" w:hAnsi="宋体" w:eastAsia="宋体" w:cs="宋体"/>
          <w:sz w:val="24"/>
        </w:rPr>
        <w:t>本协议一式</w:t>
      </w:r>
      <w:r>
        <w:rPr>
          <w:rFonts w:hint="eastAsia" w:ascii="宋体" w:hAnsi="宋体" w:eastAsia="宋体" w:cs="宋体"/>
          <w:sz w:val="24"/>
          <w:lang w:val="en-US" w:eastAsia="zh-CN"/>
        </w:rPr>
        <w:t>伍</w:t>
      </w:r>
      <w:r>
        <w:rPr>
          <w:rFonts w:hint="eastAsia" w:ascii="宋体" w:hAnsi="宋体" w:eastAsia="宋体" w:cs="宋体"/>
          <w:sz w:val="24"/>
        </w:rPr>
        <w:t>份，</w:t>
      </w:r>
      <w:r>
        <w:rPr>
          <w:rFonts w:hint="eastAsia" w:ascii="宋体" w:hAnsi="宋体" w:eastAsia="宋体" w:cs="宋体"/>
          <w:b w:val="0"/>
          <w:bCs w:val="0"/>
          <w:sz w:val="24"/>
        </w:rPr>
        <w:t>甲方</w:t>
      </w:r>
      <w:r>
        <w:rPr>
          <w:rFonts w:hint="eastAsia" w:ascii="宋体" w:hAnsi="宋体" w:eastAsia="宋体" w:cs="宋体"/>
          <w:b w:val="0"/>
          <w:bCs w:val="0"/>
          <w:sz w:val="24"/>
          <w:lang w:val="en-US" w:eastAsia="zh-CN"/>
        </w:rPr>
        <w:t>叁</w:t>
      </w:r>
      <w:r>
        <w:rPr>
          <w:rFonts w:hint="eastAsia" w:ascii="宋体" w:hAnsi="宋体" w:eastAsia="宋体" w:cs="宋体"/>
          <w:b w:val="0"/>
          <w:bCs w:val="0"/>
          <w:sz w:val="24"/>
        </w:rPr>
        <w:t>份，乙方贰份，</w:t>
      </w:r>
      <w:r>
        <w:rPr>
          <w:rFonts w:hint="eastAsia" w:ascii="宋体" w:hAnsi="宋体" w:eastAsia="宋体" w:cs="宋体"/>
          <w:sz w:val="24"/>
        </w:rPr>
        <w:t>甲乙双方签字及盖章后生效。</w:t>
      </w:r>
    </w:p>
    <w:p w14:paraId="28068423">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十四、送达</w:t>
      </w:r>
    </w:p>
    <w:p w14:paraId="2931796E">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甲、乙双方关于本合同履行及相关事宜的通知，以及法院与国家机关因本合同争议发出的通知或司法文书（包括但不限于传票、判决书、裁定书、调解书等），应</w:t>
      </w:r>
      <w:r>
        <w:rPr>
          <w:rFonts w:hint="eastAsia" w:ascii="宋体" w:hAnsi="宋体" w:eastAsia="宋体" w:cs="宋体"/>
          <w:sz w:val="24"/>
          <w:lang w:eastAsia="zh-CN"/>
        </w:rPr>
        <w:t>送达</w:t>
      </w:r>
      <w:r>
        <w:rPr>
          <w:rFonts w:hint="eastAsia" w:ascii="宋体" w:hAnsi="宋体" w:eastAsia="宋体" w:cs="宋体"/>
          <w:sz w:val="24"/>
        </w:rPr>
        <w:t>甲乙双方在本合同中提供的地址或在此之后一方以书面形式通知另一方的其他地址。该等通知以专人递送在收到时视为正式送达</w:t>
      </w:r>
      <w:r>
        <w:rPr>
          <w:rFonts w:hint="eastAsia" w:ascii="宋体" w:hAnsi="宋体" w:eastAsia="宋体" w:cs="宋体"/>
          <w:sz w:val="24"/>
          <w:lang w:eastAsia="zh-CN"/>
        </w:rPr>
        <w:t>或</w:t>
      </w:r>
      <w:r>
        <w:rPr>
          <w:rFonts w:hint="eastAsia" w:ascii="宋体" w:hAnsi="宋体" w:eastAsia="宋体" w:cs="宋体"/>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宋体" w:hAnsi="宋体" w:eastAsia="宋体" w:cs="宋体"/>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纳税人识别号</w:t>
            </w:r>
            <w:r>
              <w:rPr>
                <w:rFonts w:hint="eastAsia" w:ascii="宋体" w:hAnsi="宋体" w:eastAsia="宋体" w:cs="宋体"/>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合同签订日期：</w:t>
            </w:r>
          </w:p>
        </w:tc>
      </w:tr>
    </w:tbl>
    <w:p w14:paraId="64C985E1">
      <w:pPr>
        <w:spacing w:line="360" w:lineRule="auto"/>
        <w:ind w:firstLine="480" w:firstLineChars="200"/>
        <w:rPr>
          <w:rFonts w:hint="eastAsia" w:ascii="宋体" w:hAnsi="宋体" w:eastAsia="宋体" w:cs="宋体"/>
          <w:sz w:val="24"/>
          <w:lang w:val="en-US" w:eastAsia="zh-CN"/>
        </w:rPr>
      </w:pPr>
    </w:p>
    <w:p w14:paraId="3E3795F8">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附件：</w:t>
      </w:r>
    </w:p>
    <w:p w14:paraId="47976089">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配置清单</w:t>
      </w:r>
    </w:p>
    <w:p w14:paraId="30A15E1D">
      <w:pPr>
        <w:rPr>
          <w:rFonts w:hint="eastAsia" w:ascii="宋体" w:hAnsi="宋体" w:eastAsia="宋体" w:cs="宋体"/>
          <w:color w:val="auto"/>
          <w:highlight w:val="none"/>
        </w:rPr>
      </w:pPr>
    </w:p>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25360B-009C-4AE6-B02A-E2AA2B6AF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EC6C40-845C-48EF-898F-D711001A17C9}"/>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4FC3069-14C6-4D95-B1B3-86FCB4FB50C6}"/>
  </w:font>
  <w:font w:name="仿宋_GB2312">
    <w:panose1 w:val="02010609030101010101"/>
    <w:charset w:val="86"/>
    <w:family w:val="auto"/>
    <w:pitch w:val="default"/>
    <w:sig w:usb0="00000001" w:usb1="080E0000" w:usb2="00000000" w:usb3="00000000" w:csb0="00040000" w:csb1="00000000"/>
    <w:embedRegular r:id="rId4" w:fontKey="{BFAFAAB6-046A-4769-B677-C5BDE7A6AC17}"/>
  </w:font>
  <w:font w:name="仿宋">
    <w:panose1 w:val="02010609060101010101"/>
    <w:charset w:val="86"/>
    <w:family w:val="auto"/>
    <w:pitch w:val="default"/>
    <w:sig w:usb0="800002BF" w:usb1="38CF7CFA" w:usb2="00000016" w:usb3="00000000" w:csb0="00040001" w:csb1="00000000"/>
    <w:embedRegular r:id="rId5" w:fontKey="{221506B9-6E06-4B21-A774-99852B4439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755A92"/>
    <w:rsid w:val="035F7E52"/>
    <w:rsid w:val="04F11B66"/>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A97184"/>
    <w:rsid w:val="14A34882"/>
    <w:rsid w:val="14EF77DE"/>
    <w:rsid w:val="166938A9"/>
    <w:rsid w:val="16D04278"/>
    <w:rsid w:val="16D056D6"/>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2575B60"/>
    <w:rsid w:val="33435756"/>
    <w:rsid w:val="33725533"/>
    <w:rsid w:val="34627E5E"/>
    <w:rsid w:val="35E637E5"/>
    <w:rsid w:val="367E2601"/>
    <w:rsid w:val="37103BA1"/>
    <w:rsid w:val="377A54BF"/>
    <w:rsid w:val="37B61084"/>
    <w:rsid w:val="380F5C07"/>
    <w:rsid w:val="38770CBE"/>
    <w:rsid w:val="38E066E2"/>
    <w:rsid w:val="39E72CC9"/>
    <w:rsid w:val="3A6E1653"/>
    <w:rsid w:val="3A944CB8"/>
    <w:rsid w:val="3AA80595"/>
    <w:rsid w:val="3D597924"/>
    <w:rsid w:val="3D8C298A"/>
    <w:rsid w:val="40A00055"/>
    <w:rsid w:val="41B84C62"/>
    <w:rsid w:val="420662CD"/>
    <w:rsid w:val="42556256"/>
    <w:rsid w:val="43343458"/>
    <w:rsid w:val="454964D0"/>
    <w:rsid w:val="47250A55"/>
    <w:rsid w:val="47A948B2"/>
    <w:rsid w:val="4A7B537E"/>
    <w:rsid w:val="4B117A90"/>
    <w:rsid w:val="4B2C0426"/>
    <w:rsid w:val="4C03492F"/>
    <w:rsid w:val="4C3C0227"/>
    <w:rsid w:val="4C5771F3"/>
    <w:rsid w:val="4CEE0B32"/>
    <w:rsid w:val="4DB74893"/>
    <w:rsid w:val="4DFC0584"/>
    <w:rsid w:val="4EA43508"/>
    <w:rsid w:val="4ED259FB"/>
    <w:rsid w:val="4F0E056F"/>
    <w:rsid w:val="4F367C65"/>
    <w:rsid w:val="4F654A4F"/>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C9221C8"/>
    <w:rsid w:val="5D641D7E"/>
    <w:rsid w:val="5DA77BB9"/>
    <w:rsid w:val="5DB81DEE"/>
    <w:rsid w:val="60DA5BD2"/>
    <w:rsid w:val="61654558"/>
    <w:rsid w:val="6205092E"/>
    <w:rsid w:val="626B5013"/>
    <w:rsid w:val="626D15F8"/>
    <w:rsid w:val="630E339F"/>
    <w:rsid w:val="63493E13"/>
    <w:rsid w:val="645B3DFE"/>
    <w:rsid w:val="649B337D"/>
    <w:rsid w:val="65BB3441"/>
    <w:rsid w:val="65C506A9"/>
    <w:rsid w:val="69022377"/>
    <w:rsid w:val="6A8B4C4A"/>
    <w:rsid w:val="6BAE515B"/>
    <w:rsid w:val="6BF80185"/>
    <w:rsid w:val="6D2F4F04"/>
    <w:rsid w:val="6E4F50A1"/>
    <w:rsid w:val="6EAF5EB0"/>
    <w:rsid w:val="6F6D5A92"/>
    <w:rsid w:val="6F6E67C7"/>
    <w:rsid w:val="6F8A2417"/>
    <w:rsid w:val="6F8B0168"/>
    <w:rsid w:val="711D243B"/>
    <w:rsid w:val="71F8736C"/>
    <w:rsid w:val="73B0768A"/>
    <w:rsid w:val="74CE5F27"/>
    <w:rsid w:val="757310EA"/>
    <w:rsid w:val="75BF063E"/>
    <w:rsid w:val="75D752AF"/>
    <w:rsid w:val="766156EC"/>
    <w:rsid w:val="78006113"/>
    <w:rsid w:val="78E819E6"/>
    <w:rsid w:val="7BA15D4D"/>
    <w:rsid w:val="7D500B7D"/>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1537</Words>
  <Characters>1734</Characters>
  <Lines>0</Lines>
  <Paragraphs>0</Paragraphs>
  <TotalTime>7</TotalTime>
  <ScaleCrop>false</ScaleCrop>
  <LinksUpToDate>false</LinksUpToDate>
  <CharactersWithSpaces>1734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2025-10-09T03:14:00Z</cp:lastPrinted>
  <dcterms:modified xsi:type="dcterms:W3CDTF">2025-10-09T03:24:45Z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