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bookmarkStart w:id="8" w:name="_GoBack"/>
      <w:bookmarkEnd w:id="8"/>
      <w:r>
        <w:rPr>
          <w:rFonts w:hint="eastAsia" w:ascii="方正小标宋简体" w:hAnsi="方正小标宋简体" w:eastAsia="方正小标宋简体" w:cs="方正小标宋简体"/>
          <w:color w:val="auto"/>
          <w:spacing w:val="17"/>
          <w:sz w:val="44"/>
          <w:szCs w:val="44"/>
          <w:lang w:val="en-US" w:eastAsia="zh-CN"/>
        </w:rPr>
        <w:t>南江县人民医院</w:t>
      </w:r>
    </w:p>
    <w:p>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中药房储药柜</w:t>
      </w:r>
      <w:r>
        <w:rPr>
          <w:rFonts w:hint="eastAsia" w:ascii="方正小标宋简体" w:hAnsi="方正小标宋简体" w:eastAsia="方正小标宋简体" w:cs="方正小标宋简体"/>
          <w:color w:val="auto"/>
          <w:sz w:val="44"/>
          <w:szCs w:val="44"/>
        </w:rPr>
        <w:t>院内采购项目</w:t>
      </w:r>
    </w:p>
    <w:p>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NYCG-2510-HQ-01</w:t>
      </w:r>
    </w:p>
    <w:p>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10</w:t>
      </w:r>
      <w:r>
        <w:rPr>
          <w:rFonts w:hint="eastAsia" w:ascii="仿宋_GB2312" w:hAnsi="仿宋_GB2312" w:eastAsia="仿宋_GB2312" w:cs="仿宋_GB2312"/>
          <w:b w:val="0"/>
          <w:bCs w:val="0"/>
          <w:color w:val="auto"/>
          <w:spacing w:val="-9"/>
          <w:sz w:val="28"/>
          <w:szCs w:val="28"/>
        </w:rPr>
        <w:t>月</w:t>
      </w:r>
    </w:p>
    <w:p>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w:t>
      </w:r>
      <w:r>
        <w:rPr>
          <w:rFonts w:hint="eastAsia" w:ascii="仿宋_GB2312" w:hAnsi="仿宋_GB2312" w:eastAsia="仿宋_GB2312" w:cs="仿宋_GB2312"/>
          <w:color w:val="auto"/>
          <w:spacing w:val="14"/>
          <w:sz w:val="28"/>
          <w:szCs w:val="28"/>
          <w:lang w:val="en-US" w:eastAsia="zh-CN"/>
        </w:rPr>
        <w:t>中药房储药柜院内采购</w:t>
      </w:r>
      <w:r>
        <w:rPr>
          <w:rFonts w:hint="eastAsia" w:ascii="仿宋_GB2312" w:hAnsi="仿宋_GB2312" w:eastAsia="仿宋_GB2312" w:cs="仿宋_GB2312"/>
          <w:color w:val="auto"/>
          <w:spacing w:val="13"/>
          <w:sz w:val="28"/>
          <w:szCs w:val="28"/>
        </w:rPr>
        <w:t>项目进行竞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eastAsia" w:ascii="仿宋_GB2312" w:hAnsi="仿宋_GB2312" w:eastAsia="仿宋_GB2312" w:cs="仿宋_GB2312"/>
          <w:b w:val="0"/>
          <w:bCs w:val="0"/>
          <w:color w:val="auto"/>
          <w:spacing w:val="-13"/>
          <w:sz w:val="32"/>
          <w:szCs w:val="32"/>
          <w:lang w:val="en-US" w:eastAsia="zh-CN"/>
        </w:rPr>
        <w:t>NYCG-2510-HQ-01</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3"/>
          <w:sz w:val="28"/>
          <w:szCs w:val="28"/>
          <w:lang w:val="en-US" w:eastAsia="zh-CN"/>
        </w:rPr>
        <w:t>二、</w:t>
      </w:r>
      <w:r>
        <w:rPr>
          <w:rFonts w:hint="eastAsia" w:ascii="仿宋_GB2312" w:hAnsi="仿宋_GB2312" w:eastAsia="仿宋_GB2312" w:cs="仿宋_GB2312"/>
          <w:color w:val="auto"/>
          <w:spacing w:val="3"/>
          <w:sz w:val="28"/>
          <w:szCs w:val="28"/>
        </w:rPr>
        <w:t>采购项目名称：</w:t>
      </w:r>
      <w:r>
        <w:rPr>
          <w:rFonts w:hint="eastAsia" w:ascii="仿宋_GB2312" w:hAnsi="仿宋_GB2312" w:eastAsia="仿宋_GB2312" w:cs="仿宋_GB2312"/>
          <w:spacing w:val="3"/>
          <w:sz w:val="28"/>
          <w:szCs w:val="28"/>
          <w:lang w:val="en-US" w:eastAsia="zh-CN"/>
        </w:rPr>
        <w:t>南江县人民医院中药房储药柜院内采购项目</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val="en-US" w:eastAsia="zh-CN"/>
        </w:rPr>
        <w:t>三、</w:t>
      </w:r>
      <w:r>
        <w:rPr>
          <w:rFonts w:hint="eastAsia" w:ascii="仿宋_GB2312" w:hAnsi="仿宋_GB2312" w:eastAsia="仿宋_GB2312" w:cs="仿宋_GB2312"/>
          <w:color w:val="auto"/>
          <w:spacing w:val="-1"/>
          <w:sz w:val="28"/>
          <w:szCs w:val="28"/>
        </w:rPr>
        <w:t>采购项目概况：</w:t>
      </w:r>
    </w:p>
    <w:tbl>
      <w:tblPr>
        <w:tblStyle w:val="7"/>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2025"/>
        <w:gridCol w:w="885"/>
        <w:gridCol w:w="900"/>
        <w:gridCol w:w="141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产品名称</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采购需求</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控制单价</w:t>
            </w:r>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控制总价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中药柜</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840*600*2000</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台</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6000元</w:t>
            </w:r>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中药柜调剂台</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1600*600*820</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台</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5500元</w:t>
            </w:r>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11000元</w:t>
            </w:r>
          </w:p>
        </w:tc>
      </w:tr>
    </w:tbl>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6" w:firstLineChars="200"/>
        <w:textAlignment w:val="baseline"/>
        <w:rPr>
          <w:rFonts w:hint="eastAsia" w:ascii="仿宋_GB2312" w:hAnsi="仿宋_GB2312" w:eastAsia="仿宋_GB2312" w:cs="仿宋_GB2312"/>
          <w:color w:val="auto"/>
          <w:spacing w:val="-1"/>
          <w:sz w:val="28"/>
          <w:szCs w:val="28"/>
          <w:lang w:val="en-US" w:eastAsia="zh-CN"/>
        </w:rPr>
      </w:pP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41000</w:t>
      </w:r>
      <w:r>
        <w:rPr>
          <w:rFonts w:hint="eastAsia" w:ascii="仿宋_GB2312" w:hAnsi="仿宋_GB2312" w:eastAsia="仿宋_GB2312" w:cs="仿宋_GB2312"/>
          <w:color w:val="auto"/>
          <w:spacing w:val="2"/>
          <w:sz w:val="28"/>
          <w:szCs w:val="28"/>
        </w:rPr>
        <w:t>元。报价金额高于最高限价视为无效报价。</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（一）材质工艺说明：</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柜体厚度采用 0.6mm的钢板，整柜采用酸洗磷化喷涂工艺，表面整齐光滑，采用专业环保高光白塑粉，无甲醛等有毒有害气体，表面静电喷粉涂装，漆膜硬度≥2H：冲击强度无裂纹，附着力不低于2级，耐腐蚀：无气泡产生、无锈、剥落、起皱、变色和失光现象，保证十年不脱落。</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）材质要求：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1.钢板:选用优质“宝钢”牌或同等级钢板，镀层本身的耐腐蚀等级&gt;9级，镀层对基体的保护等级≥9级，符合 QB/T3827-1999《轻工产品金属镀层和化学处理层的耐腐蚀试验方法乙酸盐雾试验（ASS）法》QB/T3832-1999《轻工产品金属镀层腐蚀试验结果的评价》。</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2.拉手： 采用铝合金材质，表面为镀铬涂层，“BMB”或同等级优质品牌，镀层本身的耐腐蚀等级&gt;9级，镀层对基体的保护等级&gt;9级，符合QB/T3827-1999《轻工产品金属镀层和化学处理层的耐腐蚀试验方法乙酸盐雾试验（ASS）法》 QB/T3832-1999《轻工产品金属层腐蚀试验结果的评价》。</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3.四周折弯，增强托板的抗弯性和承重性能，折弯后托板截面高度为25mm。</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4.抽屉面板带有4个标签卡槽，以便标注抽屉内的药材种类，抽屉与柜体之间没有连接件，没有滑轨。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设计图：见附件5</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九、响应文件的组成</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响应文件正本一份副本一份，</w:t>
      </w:r>
      <w:r>
        <w:rPr>
          <w:rFonts w:hint="eastAsia" w:ascii="仿宋_GB2312" w:hAnsi="仿宋_GB2312" w:eastAsia="仿宋_GB2312" w:cs="仿宋_GB2312"/>
          <w:color w:val="auto"/>
          <w:sz w:val="28"/>
          <w:szCs w:val="28"/>
        </w:rPr>
        <w:t>详见第二章</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联系人：王女士  联系电话：0827-8228745 </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（2）设备验收合格1年后无质量问题，达到付款条件起30日内，支付合同金额的5%。在甲方付款前，乙方应先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附件5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带★为实质性参数</w:t>
      </w:r>
    </w:p>
    <w:p>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lang w:eastAsia="zh-CN"/>
        </w:rPr>
        <w:t>谈判文件提及或供应商认为需要提供的其他材料（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10" w:firstLineChars="1900"/>
        <w:textAlignment w:val="baseline"/>
        <w:rPr>
          <w:rFonts w:hint="default" w:ascii="仿宋_GB2312" w:hAnsi="仿宋_GB2312" w:eastAsia="仿宋_GB2312" w:cs="仿宋_GB2312"/>
          <w:color w:val="auto"/>
          <w:spacing w:val="5"/>
          <w:sz w:val="28"/>
          <w:szCs w:val="28"/>
          <w:lang w:val="en-US" w:eastAsia="zh-CN"/>
        </w:rPr>
      </w:pPr>
    </w:p>
    <w:p>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88" w:firstLineChars="200"/>
        <w:textAlignment w:val="baseline"/>
        <w:rPr>
          <w:rFonts w:hint="eastAsia" w:ascii="仿宋_GB2312" w:hAnsi="仿宋_GB2312" w:eastAsia="仿宋_GB2312" w:cs="仿宋_GB2312"/>
          <w:color w:val="auto"/>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日期：XXX年XXX月XXX日</w:t>
      </w:r>
    </w:p>
    <w:p>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default" w:ascii="仿宋_GB2312" w:hAnsi="仿宋_GB2312" w:eastAsia="仿宋_GB2312" w:cs="仿宋_GB2312"/>
          <w:color w:val="auto"/>
          <w:sz w:val="28"/>
          <w:szCs w:val="28"/>
          <w:lang w:val="en-US" w:eastAsia="zh-CN"/>
        </w:rPr>
      </w:pPr>
      <w:r>
        <w:drawing>
          <wp:anchor distT="0" distB="0" distL="114300" distR="114300" simplePos="0" relativeHeight="251659264" behindDoc="0" locked="0" layoutInCell="1" allowOverlap="1">
            <wp:simplePos x="0" y="0"/>
            <wp:positionH relativeFrom="column">
              <wp:posOffset>198755</wp:posOffset>
            </wp:positionH>
            <wp:positionV relativeFrom="paragraph">
              <wp:posOffset>871855</wp:posOffset>
            </wp:positionV>
            <wp:extent cx="5015865" cy="3837940"/>
            <wp:effectExtent l="0" t="0" r="13335" b="10160"/>
            <wp:wrapTopAndBottom/>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8"/>
                    <a:stretch>
                      <a:fillRect/>
                    </a:stretch>
                  </pic:blipFill>
                  <pic:spPr>
                    <a:xfrm>
                      <a:off x="0" y="0"/>
                      <a:ext cx="5015865" cy="3837940"/>
                    </a:xfrm>
                    <a:prstGeom prst="rect">
                      <a:avLst/>
                    </a:prstGeom>
                    <a:noFill/>
                    <a:ln>
                      <a:noFill/>
                    </a:ln>
                  </pic:spPr>
                </pic:pic>
              </a:graphicData>
            </a:graphic>
          </wp:anchor>
        </w:drawing>
      </w:r>
      <w:r>
        <w:rPr>
          <w:rFonts w:hint="eastAsia" w:ascii="仿宋_GB2312" w:hAnsi="仿宋_GB2312" w:eastAsia="仿宋_GB2312" w:cs="仿宋_GB2312"/>
          <w:color w:val="auto"/>
          <w:sz w:val="28"/>
          <w:szCs w:val="28"/>
          <w:lang w:val="en-US" w:eastAsia="zh-CN"/>
        </w:rPr>
        <w:t>附件5：</w:t>
      </w:r>
    </w:p>
    <w:p>
      <w:pPr>
        <w:pStyle w:val="3"/>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_GB2312" w:hAnsi="仿宋_GB2312" w:eastAsia="仿宋_GB2312" w:cs="仿宋_GB2312"/>
          <w:color w:val="auto"/>
          <w:sz w:val="28"/>
          <w:szCs w:val="28"/>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4041775</wp:posOffset>
            </wp:positionV>
            <wp:extent cx="5609590" cy="3571875"/>
            <wp:effectExtent l="0" t="0" r="10160" b="9525"/>
            <wp:wrapTopAndBottom/>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9"/>
                    <a:stretch>
                      <a:fillRect/>
                    </a:stretch>
                  </pic:blipFill>
                  <pic:spPr>
                    <a:xfrm>
                      <a:off x="0" y="0"/>
                      <a:ext cx="5609590" cy="3571875"/>
                    </a:xfrm>
                    <a:prstGeom prst="rect">
                      <a:avLst/>
                    </a:prstGeom>
                    <a:noFill/>
                    <a:ln>
                      <a:noFill/>
                    </a:ln>
                  </pic:spPr>
                </pic:pic>
              </a:graphicData>
            </a:graphic>
          </wp:anchor>
        </w:drawing>
      </w: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pP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lang w:val="en-US" w:eastAsia="zh-CN"/>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drawing>
          <wp:anchor distT="0" distB="0" distL="114300" distR="114300" simplePos="0" relativeHeight="251661312" behindDoc="0" locked="0" layoutInCell="1" allowOverlap="1">
            <wp:simplePos x="0" y="0"/>
            <wp:positionH relativeFrom="column">
              <wp:posOffset>15875</wp:posOffset>
            </wp:positionH>
            <wp:positionV relativeFrom="paragraph">
              <wp:posOffset>-395605</wp:posOffset>
            </wp:positionV>
            <wp:extent cx="5901690" cy="2810510"/>
            <wp:effectExtent l="0" t="0" r="3810" b="8890"/>
            <wp:wrapTopAndBottom/>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0"/>
                    <a:stretch>
                      <a:fillRect/>
                    </a:stretch>
                  </pic:blipFill>
                  <pic:spPr>
                    <a:xfrm>
                      <a:off x="0" y="0"/>
                      <a:ext cx="5901690" cy="2810510"/>
                    </a:xfrm>
                    <a:prstGeom prst="rect">
                      <a:avLst/>
                    </a:prstGeom>
                    <a:noFill/>
                    <a:ln>
                      <a:noFill/>
                    </a:ln>
                  </pic:spPr>
                </pic:pic>
              </a:graphicData>
            </a:graphic>
          </wp:anchor>
        </w:drawing>
      </w:r>
    </w:p>
    <w:p>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p>
    <w:p>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drawing>
          <wp:anchor distT="0" distB="0" distL="114300" distR="114300" simplePos="0" relativeHeight="251662336" behindDoc="0" locked="0" layoutInCell="1" allowOverlap="1">
            <wp:simplePos x="0" y="0"/>
            <wp:positionH relativeFrom="column">
              <wp:posOffset>-95250</wp:posOffset>
            </wp:positionH>
            <wp:positionV relativeFrom="paragraph">
              <wp:posOffset>218440</wp:posOffset>
            </wp:positionV>
            <wp:extent cx="5610225" cy="4354830"/>
            <wp:effectExtent l="0" t="0" r="9525" b="7620"/>
            <wp:wrapTopAndBottom/>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21"/>
                    <a:stretch>
                      <a:fillRect/>
                    </a:stretch>
                  </pic:blipFill>
                  <pic:spPr>
                    <a:xfrm>
                      <a:off x="0" y="0"/>
                      <a:ext cx="5610225" cy="4354830"/>
                    </a:xfrm>
                    <a:prstGeom prst="rect">
                      <a:avLst/>
                    </a:prstGeom>
                    <a:noFill/>
                    <a:ln>
                      <a:noFill/>
                    </a:ln>
                  </pic:spPr>
                </pic:pic>
              </a:graphicData>
            </a:graphic>
          </wp:anchor>
        </w:drawing>
      </w:r>
    </w:p>
    <w:p>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附件6：</w:t>
      </w:r>
    </w:p>
    <w:p>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0"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rPr>
        <w:t>货物类采购合同</w:t>
      </w:r>
    </w:p>
    <w:p>
      <w:pPr>
        <w:keepNext w:val="0"/>
        <w:keepLines w:val="0"/>
        <w:pageBreakBefore w:val="0"/>
        <w:shd w:val="clear" w:color="auto" w:fill="FFFFFF"/>
        <w:kinsoku/>
        <w:wordWrap/>
        <w:overflowPunct/>
        <w:topLinePunct w:val="0"/>
        <w:bidi w:val="0"/>
        <w:snapToGrid w:val="0"/>
        <w:spacing w:line="560" w:lineRule="exact"/>
        <w:ind w:left="0" w:firstLine="880" w:firstLineChars="200"/>
        <w:jc w:val="both"/>
        <w:textAlignment w:val="auto"/>
        <w:outlineLvl w:val="0"/>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pacing w:line="5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合同编号：</w:t>
      </w:r>
    </w:p>
    <w:bookmarkEnd w:id="0"/>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val="en-US" w:eastAsia="zh-CN"/>
        </w:rPr>
        <w:t>南江县人民</w:t>
      </w:r>
      <w:r>
        <w:rPr>
          <w:rFonts w:hint="eastAsia" w:asciiTheme="minorEastAsia" w:hAnsiTheme="minorEastAsia" w:eastAsiaTheme="minorEastAsia" w:cstheme="minorEastAsia"/>
          <w:b w:val="0"/>
          <w:bCs w:val="0"/>
          <w:color w:val="auto"/>
          <w:sz w:val="24"/>
          <w:szCs w:val="24"/>
          <w:lang w:val="en-US" w:eastAsia="zh-CN"/>
        </w:rPr>
        <w:t>医院</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default"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lang w:eastAsia="zh-CN"/>
        </w:rPr>
        <w:t>：</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根据《中华人民共和国政府采购法》《中华人民共和国民法典》及</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采购项目（项目编号）的《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一、合同标的</w:t>
      </w:r>
    </w:p>
    <w:tbl>
      <w:tblPr>
        <w:tblStyle w:val="6"/>
        <w:tblW w:w="91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29"/>
        <w:gridCol w:w="1529"/>
        <w:gridCol w:w="1529"/>
        <w:gridCol w:w="1529"/>
        <w:gridCol w:w="1529"/>
        <w:gridCol w:w="15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货物品名</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生产</w:t>
            </w:r>
          </w:p>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厂家</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（元）</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jc w:val="both"/>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firstLine="480" w:firstLineChars="200"/>
              <w:jc w:val="both"/>
              <w:textAlignment w:val="auto"/>
              <w:rPr>
                <w:rFonts w:hint="default" w:asciiTheme="minorEastAsia" w:hAnsiTheme="minorEastAsia" w:eastAsiaTheme="minorEastAsia" w:cstheme="minorEastAsia"/>
                <w:color w:val="auto"/>
                <w:sz w:val="24"/>
                <w:szCs w:val="24"/>
                <w:lang w:val="en-US" w:eastAsia="zh-CN"/>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r>
    </w:tbl>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1" w:name="_Toc217446108"/>
      <w:r>
        <w:rPr>
          <w:rFonts w:hint="eastAsia" w:asciiTheme="minorEastAsia" w:hAnsiTheme="minorEastAsia" w:eastAsiaTheme="minorEastAsia" w:cstheme="minorEastAsia"/>
          <w:b/>
          <w:bCs/>
          <w:color w:val="auto"/>
          <w:sz w:val="24"/>
          <w:szCs w:val="24"/>
        </w:rPr>
        <w:t>二、合同总价</w:t>
      </w:r>
      <w:bookmarkEnd w:id="1"/>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合同</w:t>
      </w:r>
      <w:r>
        <w:rPr>
          <w:rFonts w:hint="eastAsia" w:asciiTheme="minorEastAsia" w:hAnsiTheme="minorEastAsia" w:eastAsiaTheme="minorEastAsia" w:cstheme="minorEastAsia"/>
          <w:b w:val="0"/>
          <w:bCs w:val="0"/>
          <w:color w:val="auto"/>
          <w:sz w:val="24"/>
          <w:szCs w:val="24"/>
          <w:lang w:val="en-US" w:eastAsia="zh-CN"/>
        </w:rPr>
        <w:t>固定</w:t>
      </w:r>
      <w:r>
        <w:rPr>
          <w:rFonts w:hint="eastAsia" w:asciiTheme="minorEastAsia" w:hAnsiTheme="minorEastAsia" w:eastAsiaTheme="minorEastAsia" w:cstheme="minorEastAsia"/>
          <w:b w:val="0"/>
          <w:bCs w:val="0"/>
          <w:color w:val="auto"/>
          <w:sz w:val="24"/>
          <w:szCs w:val="24"/>
        </w:rPr>
        <w:t>总价为人民币</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t>元（大写：</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t>元整）；包括但不限于</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货款、材料、制造、人工、包装、运输费、安装、调试、检测、维保费、保险费、进院接口费、税费、鉴定费以及律师费等全部费用。本合同执行期间合同</w:t>
      </w:r>
      <w:r>
        <w:rPr>
          <w:rFonts w:hint="eastAsia" w:asciiTheme="minorEastAsia" w:hAnsiTheme="minorEastAsia" w:eastAsiaTheme="minorEastAsia" w:cstheme="minorEastAsia"/>
          <w:b w:val="0"/>
          <w:bCs w:val="0"/>
          <w:color w:val="auto"/>
          <w:sz w:val="24"/>
          <w:szCs w:val="24"/>
          <w:lang w:val="en-US" w:eastAsia="zh-CN"/>
        </w:rPr>
        <w:t>总价</w:t>
      </w:r>
      <w:r>
        <w:rPr>
          <w:rFonts w:hint="eastAsia" w:asciiTheme="minorEastAsia" w:hAnsiTheme="minorEastAsia" w:eastAsiaTheme="minorEastAsia" w:cstheme="minorEastAsia"/>
          <w:b w:val="0"/>
          <w:bCs w:val="0"/>
          <w:color w:val="auto"/>
          <w:sz w:val="24"/>
          <w:szCs w:val="24"/>
        </w:rPr>
        <w:t>不变，甲方无须另向乙方支付本合同规定之外的其他任何费用。</w:t>
      </w:r>
    </w:p>
    <w:p>
      <w:pPr>
        <w:keepNext w:val="0"/>
        <w:keepLines w:val="0"/>
        <w:pageBreakBefore w:val="0"/>
        <w:numPr>
          <w:ilvl w:val="0"/>
          <w:numId w:val="0"/>
        </w:numPr>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主体资格及知识产权承诺</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乙方应保证其拥有该设备涉及的包括软件在内的所有知识产权（软件须提供正版标识），如有任何第三方就该设备所涉知识产权主张权利，乙方对此承担全部法律责任。</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2" w:name="_Toc217446109"/>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、质量要求</w:t>
      </w:r>
      <w:bookmarkEnd w:id="2"/>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bookmarkStart w:id="3" w:name="_Toc217446110"/>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乙方须提供</w:t>
      </w:r>
      <w:r>
        <w:rPr>
          <w:rFonts w:hint="eastAsia" w:asciiTheme="minorEastAsia" w:hAnsiTheme="minorEastAsia" w:eastAsiaTheme="minorEastAsia" w:cstheme="minorEastAsia"/>
          <w:b w:val="0"/>
          <w:bCs w:val="0"/>
          <w:color w:val="auto"/>
          <w:sz w:val="24"/>
          <w:szCs w:val="24"/>
          <w:lang w:val="en-US" w:eastAsia="zh-CN"/>
        </w:rPr>
        <w:t>各项功能程序均能完全运作全新原装正品的</w:t>
      </w:r>
      <w:r>
        <w:rPr>
          <w:rFonts w:hint="eastAsia" w:asciiTheme="minorEastAsia" w:hAnsiTheme="minorEastAsia" w:eastAsiaTheme="minorEastAsia" w:cstheme="minorEastAsia"/>
          <w:b w:val="0"/>
          <w:bCs w:val="0"/>
          <w:color w:val="auto"/>
          <w:sz w:val="24"/>
          <w:szCs w:val="24"/>
        </w:rPr>
        <w:t>货物（含零部件、配件</w:t>
      </w:r>
      <w:r>
        <w:rPr>
          <w:rFonts w:hint="eastAsia" w:asciiTheme="minorEastAsia" w:hAnsiTheme="minorEastAsia" w:eastAsiaTheme="minorEastAsia" w:cstheme="minorEastAsia"/>
          <w:b w:val="0"/>
          <w:bCs w:val="0"/>
          <w:color w:val="auto"/>
          <w:sz w:val="24"/>
          <w:szCs w:val="24"/>
          <w:lang w:val="en-US" w:eastAsia="zh-CN"/>
        </w:rPr>
        <w:t>使用说明书</w:t>
      </w:r>
      <w:r>
        <w:rPr>
          <w:rFonts w:hint="eastAsia" w:asciiTheme="minorEastAsia" w:hAnsiTheme="minorEastAsia" w:eastAsiaTheme="minorEastAsia" w:cstheme="minorEastAsia"/>
          <w:b w:val="0"/>
          <w:bCs w:val="0"/>
          <w:color w:val="auto"/>
          <w:sz w:val="24"/>
          <w:szCs w:val="24"/>
        </w:rPr>
        <w:t>等），表面无划伤、无碰撞痕迹，且权属清楚，不得侵害他人的知识产权</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并按照相关要求包装完好</w:t>
      </w:r>
      <w:r>
        <w:rPr>
          <w:rFonts w:hint="eastAsia" w:asciiTheme="minorEastAsia" w:hAnsiTheme="minorEastAsia" w:eastAsiaTheme="minorEastAsia" w:cstheme="minorEastAsia"/>
          <w:b w:val="0"/>
          <w:bCs w:val="0"/>
          <w:color w:val="auto"/>
          <w:sz w:val="24"/>
          <w:szCs w:val="24"/>
        </w:rPr>
        <w:t>。</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货物必须符合或优于国家（行业）标准，以及本项目质量要求和技术指标与出厂标准。相关标准不一致的，以较之更为严格的为准。</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货物制造质量出现问题，乙方应负责三包（包修、包换、包退），费用由乙方负担，甲方有权到乙方生产场地检查货物质量和生产进度。</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、交货及验收</w:t>
      </w:r>
      <w:bookmarkEnd w:id="3"/>
    </w:p>
    <w:p>
      <w:pPr>
        <w:pStyle w:val="1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自本合同签订之日起</w:t>
      </w:r>
      <w:r>
        <w:rPr>
          <w:rFonts w:hint="eastAsia" w:asciiTheme="minorEastAsia" w:hAnsiTheme="minorEastAsia" w:eastAsiaTheme="minorEastAsia" w:cstheme="minorEastAsia"/>
          <w:b w:val="0"/>
          <w:bCs w:val="0"/>
          <w:color w:val="auto"/>
          <w:sz w:val="24"/>
          <w:szCs w:val="24"/>
          <w:u w:val="single"/>
          <w:lang w:val="en-US" w:eastAsia="zh-CN"/>
        </w:rPr>
        <w:t>30</w:t>
      </w:r>
      <w:r>
        <w:rPr>
          <w:rFonts w:hint="eastAsia" w:asciiTheme="minorEastAsia" w:hAnsiTheme="minorEastAsia" w:eastAsiaTheme="minorEastAsia" w:cstheme="minorEastAsia"/>
          <w:b w:val="0"/>
          <w:bCs w:val="0"/>
          <w:color w:val="auto"/>
          <w:sz w:val="24"/>
          <w:szCs w:val="24"/>
        </w:rPr>
        <w:t>日内，由乙方送货至甲方指定地点并安装完毕，包装、装车、运费、卸货费用及货运保险费等相关所有费用由乙方承担。乙方已知悉货物运送到指定地点的运输条件，应按货物特点进行谨慎包装，验收合格前货物的所有风险由乙方承担。乙方交货验收时须提供产品质检部门从同类产品中抽样检查合格的检测报告。</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验收由甲方组织，乙方配合进行：</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乙方将货物安装</w:t>
      </w:r>
      <w:r>
        <w:rPr>
          <w:rFonts w:hint="eastAsia" w:asciiTheme="minorEastAsia" w:hAnsiTheme="minorEastAsia" w:eastAsiaTheme="minorEastAsia" w:cstheme="minorEastAsia"/>
          <w:b w:val="0"/>
          <w:bCs w:val="0"/>
          <w:color w:val="auto"/>
          <w:sz w:val="24"/>
          <w:szCs w:val="24"/>
          <w:lang w:val="en-US" w:eastAsia="zh-CN"/>
        </w:rPr>
        <w:t>调试完毕</w:t>
      </w:r>
      <w:r>
        <w:rPr>
          <w:rFonts w:hint="eastAsia" w:asciiTheme="minorEastAsia" w:hAnsiTheme="minorEastAsia" w:eastAsiaTheme="minorEastAsia" w:cstheme="minorEastAsia"/>
          <w:b w:val="0"/>
          <w:bCs w:val="0"/>
          <w:color w:val="auto"/>
          <w:sz w:val="24"/>
          <w:szCs w:val="24"/>
        </w:rPr>
        <w:t>后</w:t>
      </w:r>
      <w:r>
        <w:rPr>
          <w:rFonts w:hint="eastAsia" w:asciiTheme="minorEastAsia" w:hAnsiTheme="minorEastAsia" w:eastAsiaTheme="minorEastAsia" w:cstheme="minorEastAsia"/>
          <w:b w:val="0"/>
          <w:bCs w:val="0"/>
          <w:color w:val="auto"/>
          <w:sz w:val="24"/>
          <w:szCs w:val="24"/>
          <w:lang w:val="en-US" w:eastAsia="zh-CN"/>
        </w:rPr>
        <w:t>进入</w:t>
      </w:r>
      <w:r>
        <w:rPr>
          <w:rFonts w:hint="eastAsia" w:asciiTheme="minorEastAsia" w:hAnsiTheme="minorEastAsia" w:eastAsiaTheme="minorEastAsia" w:cstheme="minorEastAsia"/>
          <w:b w:val="0"/>
          <w:bCs w:val="0"/>
          <w:color w:val="auto"/>
          <w:sz w:val="24"/>
          <w:szCs w:val="24"/>
          <w:u w:val="single"/>
          <w:lang w:val="en-US" w:eastAsia="zh-CN"/>
        </w:rPr>
        <w:t>15</w:t>
      </w:r>
      <w:r>
        <w:rPr>
          <w:rFonts w:hint="eastAsia" w:asciiTheme="minorEastAsia" w:hAnsiTheme="minorEastAsia" w:eastAsiaTheme="minorEastAsia" w:cstheme="minorEastAsia"/>
          <w:b w:val="0"/>
          <w:bCs w:val="0"/>
          <w:color w:val="auto"/>
          <w:sz w:val="24"/>
          <w:szCs w:val="24"/>
          <w:lang w:val="en-US" w:eastAsia="zh-CN"/>
        </w:rPr>
        <w:t>天试用期，试用期间发生一般性质量问题，修复后试用期相应顺延，试用期结束后，乙方提出书面验收申请，甲方在</w:t>
      </w:r>
      <w:r>
        <w:rPr>
          <w:rFonts w:hint="eastAsia" w:asciiTheme="minorEastAsia" w:hAnsiTheme="minorEastAsia" w:eastAsiaTheme="minorEastAsia" w:cstheme="minorEastAsia"/>
          <w:b w:val="0"/>
          <w:bCs w:val="0"/>
          <w:color w:val="auto"/>
          <w:sz w:val="24"/>
          <w:szCs w:val="24"/>
          <w:u w:val="single"/>
          <w:lang w:val="en-US" w:eastAsia="zh-CN"/>
        </w:rPr>
        <w:t>7</w:t>
      </w:r>
      <w:r>
        <w:rPr>
          <w:rFonts w:hint="eastAsia" w:asciiTheme="minorEastAsia" w:hAnsiTheme="minorEastAsia" w:eastAsiaTheme="minorEastAsia" w:cstheme="minorEastAsia"/>
          <w:b w:val="0"/>
          <w:bCs w:val="0"/>
          <w:color w:val="auto"/>
          <w:sz w:val="24"/>
          <w:szCs w:val="24"/>
          <w:lang w:val="en-US" w:eastAsia="zh-CN"/>
        </w:rPr>
        <w:t>个工作日内完成最终验收，</w:t>
      </w:r>
      <w:r>
        <w:rPr>
          <w:rFonts w:hint="eastAsia" w:asciiTheme="minorEastAsia" w:hAnsiTheme="minorEastAsia" w:eastAsiaTheme="minorEastAsia" w:cstheme="minorEastAsia"/>
          <w:b w:val="0"/>
          <w:bCs w:val="0"/>
          <w:color w:val="auto"/>
          <w:sz w:val="24"/>
          <w:szCs w:val="24"/>
        </w:rPr>
        <w:t>甲方指派工作人员对产品进行验收，</w:t>
      </w:r>
      <w:r>
        <w:rPr>
          <w:rFonts w:hint="eastAsia" w:asciiTheme="minorEastAsia" w:hAnsiTheme="minorEastAsia" w:eastAsiaTheme="minorEastAsia" w:cstheme="minorEastAsia"/>
          <w:b w:val="0"/>
          <w:bCs w:val="0"/>
          <w:color w:val="auto"/>
          <w:sz w:val="24"/>
          <w:szCs w:val="24"/>
          <w:lang w:val="en-US" w:eastAsia="zh-CN"/>
        </w:rPr>
        <w:t>乙方配合，如质量验收合格，签署验收</w:t>
      </w:r>
      <w:r>
        <w:rPr>
          <w:rFonts w:hint="eastAsia" w:asciiTheme="minorEastAsia" w:hAnsiTheme="minorEastAsia" w:eastAsiaTheme="minorEastAsia" w:cstheme="minorEastAsia"/>
          <w:b w:val="0"/>
          <w:bCs w:val="0"/>
          <w:color w:val="auto"/>
          <w:sz w:val="24"/>
          <w:szCs w:val="24"/>
        </w:rPr>
        <w:t>合格证明</w:t>
      </w:r>
      <w:r>
        <w:rPr>
          <w:rFonts w:hint="eastAsia" w:asciiTheme="minorEastAsia" w:hAnsiTheme="minorEastAsia" w:eastAsiaTheme="minorEastAsia" w:cstheme="minorEastAsia"/>
          <w:b w:val="0"/>
          <w:bCs w:val="0"/>
          <w:color w:val="auto"/>
          <w:sz w:val="24"/>
          <w:szCs w:val="24"/>
          <w:lang w:eastAsia="zh-CN"/>
        </w:rPr>
        <w:t>。</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验收时，甲方如发现所交付的货物有短装、次品、损坏</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功能不全、工作程序运转不顺</w:t>
      </w:r>
      <w:r>
        <w:rPr>
          <w:rFonts w:hint="eastAsia" w:asciiTheme="minorEastAsia" w:hAnsiTheme="minorEastAsia" w:eastAsiaTheme="minorEastAsia" w:cstheme="minorEastAsia"/>
          <w:b w:val="0"/>
          <w:bCs w:val="0"/>
          <w:color w:val="auto"/>
          <w:sz w:val="24"/>
          <w:szCs w:val="24"/>
        </w:rPr>
        <w:t>或</w:t>
      </w:r>
      <w:r>
        <w:rPr>
          <w:rFonts w:hint="eastAsia" w:asciiTheme="minorEastAsia" w:hAnsiTheme="minorEastAsia" w:eastAsiaTheme="minorEastAsia" w:cstheme="minorEastAsia"/>
          <w:b w:val="0"/>
          <w:bCs w:val="0"/>
          <w:color w:val="auto"/>
          <w:sz w:val="24"/>
          <w:szCs w:val="24"/>
          <w:lang w:eastAsia="zh-CN"/>
        </w:rPr>
        <w:t>其他不</w:t>
      </w:r>
      <w:r>
        <w:rPr>
          <w:rFonts w:hint="eastAsia" w:asciiTheme="minorEastAsia" w:hAnsiTheme="minorEastAsia" w:eastAsiaTheme="minorEastAsia" w:cstheme="minorEastAsia"/>
          <w:b w:val="0"/>
          <w:bCs w:val="0"/>
          <w:color w:val="auto"/>
          <w:sz w:val="24"/>
          <w:szCs w:val="24"/>
        </w:rPr>
        <w:t>符合标准及本合同规定之情形者，甲方做出现场记录，或由甲乙双方签署备忘录，此现场记录或备忘录可用作补充、缺失和更换损坏部件的有效证据，由此产生的时间延误与有关费用由乙方承担；</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乙方应将所提供货物的装箱清单、配件、随机工具、用户使用手册（如有）、原厂保修卡等资料交付给甲方；乙方不能完整交付货物及本款规定的单证和工具的，必须负责补齐，</w:t>
      </w:r>
      <w:r>
        <w:rPr>
          <w:rFonts w:hint="eastAsia" w:asciiTheme="minorEastAsia" w:hAnsiTheme="minorEastAsia" w:eastAsiaTheme="minorEastAsia" w:cstheme="minorEastAsia"/>
          <w:b w:val="0"/>
          <w:bCs w:val="0"/>
          <w:color w:val="auto"/>
          <w:sz w:val="24"/>
          <w:szCs w:val="24"/>
          <w:lang w:val="en-US" w:eastAsia="zh-CN"/>
        </w:rPr>
        <w:t>否则视为未交货，甲方有权扣付合同总价10%的货款。</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.货物安装验收交付后15天内出现故障，甲方可要求乙方退换货，</w:t>
      </w:r>
      <w:r>
        <w:rPr>
          <w:rFonts w:hint="eastAsia" w:asciiTheme="minorEastAsia" w:hAnsiTheme="minorEastAsia" w:eastAsiaTheme="minorEastAsia" w:cstheme="minorEastAsia"/>
          <w:b w:val="0"/>
          <w:bCs w:val="0"/>
          <w:color w:val="auto"/>
          <w:sz w:val="24"/>
          <w:szCs w:val="24"/>
        </w:rPr>
        <w:t>并视作乙方不能交付货物</w:t>
      </w:r>
      <w:r>
        <w:rPr>
          <w:rFonts w:hint="eastAsia" w:asciiTheme="minorEastAsia" w:hAnsiTheme="minorEastAsia" w:eastAsiaTheme="minorEastAsia" w:cstheme="minorEastAsia"/>
          <w:b w:val="0"/>
          <w:bCs w:val="0"/>
          <w:color w:val="auto"/>
          <w:sz w:val="24"/>
          <w:szCs w:val="24"/>
          <w:lang w:val="en-US" w:eastAsia="zh-CN"/>
        </w:rPr>
        <w:t>而需承担违约责任。</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5.质保期内，</w:t>
      </w:r>
      <w:r>
        <w:rPr>
          <w:rFonts w:hint="eastAsia" w:asciiTheme="minorEastAsia" w:hAnsiTheme="minorEastAsia" w:eastAsiaTheme="minorEastAsia" w:cstheme="minorEastAsia"/>
          <w:b w:val="0"/>
          <w:bCs w:val="0"/>
          <w:color w:val="auto"/>
          <w:sz w:val="24"/>
          <w:szCs w:val="24"/>
        </w:rPr>
        <w:t>如货物经乙方3次维修仍不能达到合同约定的质量标准，甲方有权退货，并视作乙方不能交付货物</w:t>
      </w:r>
      <w:r>
        <w:rPr>
          <w:rFonts w:hint="eastAsia" w:asciiTheme="minorEastAsia" w:hAnsiTheme="minorEastAsia" w:eastAsiaTheme="minorEastAsia" w:cstheme="minorEastAsia"/>
          <w:b w:val="0"/>
          <w:bCs w:val="0"/>
          <w:color w:val="auto"/>
          <w:sz w:val="24"/>
          <w:szCs w:val="24"/>
          <w:lang w:val="en-US" w:eastAsia="zh-CN"/>
        </w:rPr>
        <w:t>而需承担违约责任。</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若甲方选择退货的，乙方需在7日内全部返还甲方已支付款项，并在接到退货通知后3日内接回货物，3天内未接回的，毁损灭失的风险由乙方自行承担。若甲方选择更换货物的，乙方应当在7日内完成货品更换。若未在规定时间内重新交付符合合同质量要求的货物，甲方可重新选择退货，乙方需在7日内全额返还甲方已支付款项，并在接到退货通知后3日内接回货物，3天内未接回的，毁损灭失的风险由乙方自行承担。</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其他未尽事宜应严格按照《四川省政府采购项目需求论证和履约验收管理办法》（川财采〔2015〕32号）的要求进行。</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乙方</w:t>
      </w:r>
      <w:r>
        <w:rPr>
          <w:rFonts w:hint="eastAsia" w:asciiTheme="minorEastAsia" w:hAnsiTheme="minorEastAsia" w:eastAsiaTheme="minorEastAsia" w:cstheme="minorEastAsia"/>
          <w:b w:val="0"/>
          <w:bCs w:val="0"/>
          <w:color w:val="auto"/>
          <w:sz w:val="24"/>
          <w:szCs w:val="24"/>
          <w:lang w:val="en-US" w:eastAsia="zh-CN"/>
        </w:rPr>
        <w:t>货物</w:t>
      </w:r>
      <w:r>
        <w:rPr>
          <w:rFonts w:hint="eastAsia" w:asciiTheme="minorEastAsia" w:hAnsiTheme="minorEastAsia" w:eastAsiaTheme="minorEastAsia" w:cstheme="minorEastAsia"/>
          <w:b w:val="0"/>
          <w:bCs w:val="0"/>
          <w:color w:val="auto"/>
          <w:sz w:val="24"/>
          <w:szCs w:val="24"/>
        </w:rPr>
        <w:t>安装过程中，应当注意安全。因乙方</w:t>
      </w:r>
      <w:r>
        <w:rPr>
          <w:rFonts w:hint="eastAsia" w:asciiTheme="minorEastAsia" w:hAnsiTheme="minorEastAsia" w:eastAsiaTheme="minorEastAsia" w:cstheme="minorEastAsia"/>
          <w:b w:val="0"/>
          <w:bCs w:val="0"/>
          <w:color w:val="auto"/>
          <w:sz w:val="24"/>
          <w:szCs w:val="24"/>
          <w:lang w:val="en-US" w:eastAsia="zh-CN"/>
        </w:rPr>
        <w:t>行为</w:t>
      </w:r>
      <w:r>
        <w:rPr>
          <w:rFonts w:hint="eastAsia" w:asciiTheme="minorEastAsia" w:hAnsiTheme="minorEastAsia" w:eastAsiaTheme="minorEastAsia" w:cstheme="minorEastAsia"/>
          <w:b w:val="0"/>
          <w:bCs w:val="0"/>
          <w:color w:val="auto"/>
          <w:sz w:val="24"/>
          <w:szCs w:val="24"/>
        </w:rPr>
        <w:t>导致人员人身伤亡和财产损失（包括但不限于：甲方、乙方以及第三人），乙方负责承担损失赔偿责任。如因此导致甲方对外承担法律责任的，甲方有权向乙方全额追偿。</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4" w:name="_Toc217446111"/>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、付款方式</w:t>
      </w:r>
      <w:bookmarkEnd w:id="4"/>
    </w:p>
    <w:p>
      <w:pPr>
        <w:keepNext w:val="0"/>
        <w:keepLines w:val="0"/>
        <w:pageBreakBefore w:val="0"/>
        <w:widowControl/>
        <w:kinsoku/>
        <w:wordWrap/>
        <w:overflowPunct/>
        <w:topLinePunct w:val="0"/>
        <w:autoSpaceDE/>
        <w:autoSpaceDN/>
        <w:bidi w:val="0"/>
        <w:adjustRightInd/>
        <w:spacing w:line="500" w:lineRule="exact"/>
        <w:ind w:left="0"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lang w:val="en-US" w:eastAsia="zh-CN"/>
        </w:rPr>
        <w:t>1.合同生效后，乙方交付</w:t>
      </w:r>
      <w:r>
        <w:rPr>
          <w:rFonts w:hint="eastAsia" w:asciiTheme="minorEastAsia" w:hAnsiTheme="minorEastAsia" w:eastAsiaTheme="minorEastAsia" w:cstheme="minorEastAsia"/>
          <w:color w:val="auto"/>
          <w:kern w:val="0"/>
          <w:sz w:val="24"/>
          <w:szCs w:val="24"/>
          <w:lang w:val="en-US" w:eastAsia="zh-CN" w:bidi="ar-SA"/>
        </w:rPr>
        <w:t>货物，经甲方验收合格后达到付款条件起30日内，支付合同总金额的95%，</w:t>
      </w:r>
      <w:r>
        <w:rPr>
          <w:rFonts w:hint="eastAsia" w:asciiTheme="minorEastAsia" w:hAnsiTheme="minorEastAsia" w:eastAsiaTheme="minorEastAsia" w:cstheme="minorEastAsia"/>
          <w:color w:val="auto"/>
          <w:sz w:val="24"/>
          <w:szCs w:val="24"/>
        </w:rPr>
        <w:t>即人民币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pacing w:line="500" w:lineRule="exact"/>
        <w:ind w:left="0"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SA"/>
        </w:rPr>
        <w:t>2.验收合格2年后无质量问题，达到付款条件起30日内，支付合同金额的5%，</w:t>
      </w:r>
      <w:r>
        <w:rPr>
          <w:rFonts w:hint="eastAsia" w:asciiTheme="minorEastAsia" w:hAnsiTheme="minorEastAsia" w:eastAsiaTheme="minorEastAsia" w:cstheme="minorEastAsia"/>
          <w:b w:val="0"/>
          <w:bCs w:val="0"/>
          <w:color w:val="auto"/>
          <w:sz w:val="24"/>
          <w:szCs w:val="24"/>
        </w:rPr>
        <w:t>即人民币</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u w:val="none"/>
        </w:rPr>
        <w:t>元（</w:t>
      </w:r>
      <w:r>
        <w:rPr>
          <w:rFonts w:hint="eastAsia" w:asciiTheme="minorEastAsia" w:hAnsiTheme="minorEastAsia" w:eastAsiaTheme="minorEastAsia" w:cstheme="minorEastAsia"/>
          <w:b w:val="0"/>
          <w:bCs w:val="0"/>
          <w:color w:val="auto"/>
          <w:sz w:val="24"/>
          <w:szCs w:val="24"/>
        </w:rPr>
        <w:t>大写</w:t>
      </w:r>
      <w:r>
        <w:rPr>
          <w:rFonts w:hint="eastAsia" w:asciiTheme="minorEastAsia" w:hAnsiTheme="minorEastAsia" w:eastAsiaTheme="minorEastAsia" w:cstheme="minorEastAsia"/>
          <w:b w:val="0"/>
          <w:bCs w:val="0"/>
          <w:color w:val="auto"/>
          <w:sz w:val="24"/>
          <w:szCs w:val="24"/>
          <w:u w:val="none"/>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元整</w:t>
      </w:r>
      <w:r>
        <w:rPr>
          <w:rFonts w:hint="eastAsia" w:asciiTheme="minorEastAsia" w:hAnsiTheme="minorEastAsia" w:eastAsiaTheme="minorEastAsia" w:cstheme="minorEastAsia"/>
          <w:b w:val="0"/>
          <w:bCs w:val="0"/>
          <w:color w:val="auto"/>
          <w:sz w:val="24"/>
          <w:szCs w:val="24"/>
        </w:rPr>
        <w:t>）。</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宋体" w:hAnsi="宋体" w:eastAsia="宋体" w:cs="宋体"/>
          <w:color w:val="auto"/>
          <w:sz w:val="24"/>
          <w:szCs w:val="24"/>
        </w:rPr>
        <w:t>以上全部金额，在甲方付款前，乙方应先按照合同总金额出具合法有效完整的完税发票及凭证资料。否则，甲方有权拒绝付款并且不因此承担违约责任</w:t>
      </w:r>
      <w:r>
        <w:rPr>
          <w:rFonts w:hint="eastAsia" w:asciiTheme="minorEastAsia" w:hAnsiTheme="minorEastAsia" w:eastAsiaTheme="minorEastAsia" w:cstheme="minorEastAsia"/>
          <w:color w:val="auto"/>
          <w:sz w:val="24"/>
          <w:szCs w:val="24"/>
        </w:rPr>
        <w:t>。</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5" w:name="_Toc217446112"/>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、售后服务</w:t>
      </w:r>
      <w:bookmarkEnd w:id="5"/>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.自验收合格生效日起</w:t>
      </w:r>
      <w:r>
        <w:rPr>
          <w:rFonts w:hint="eastAsia" w:asciiTheme="minorEastAsia" w:hAnsiTheme="minorEastAsia" w:eastAsiaTheme="minorEastAsia" w:cstheme="minorEastAsia"/>
          <w:b w:val="0"/>
          <w:bCs w:val="0"/>
          <w:color w:val="auto"/>
          <w:sz w:val="24"/>
          <w:szCs w:val="24"/>
          <w:u w:val="single"/>
          <w:lang w:val="en-US" w:eastAsia="zh-CN"/>
        </w:rPr>
        <w:t>2</w:t>
      </w:r>
      <w:r>
        <w:rPr>
          <w:rFonts w:hint="eastAsia" w:asciiTheme="minorEastAsia" w:hAnsiTheme="minorEastAsia" w:eastAsiaTheme="minorEastAsia" w:cstheme="minorEastAsia"/>
          <w:b w:val="0"/>
          <w:bCs w:val="0"/>
          <w:color w:val="auto"/>
          <w:sz w:val="24"/>
          <w:szCs w:val="24"/>
          <w:lang w:val="en-US" w:eastAsia="zh-CN"/>
        </w:rPr>
        <w:t>年内为质保期，质保期内配件损坏（除人为损坏）由厂家免费更换；质保期外产品维修和软件升级终身免收人工服务费，仅收取零配件成本费。</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2.乙方应提供7*24小时售后服务电话，出现故障后2小时响应，24小时内到达现场</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3.质保期内，</w:t>
      </w:r>
      <w:r>
        <w:rPr>
          <w:rFonts w:hint="eastAsia" w:asciiTheme="minorEastAsia" w:hAnsiTheme="minorEastAsia" w:eastAsiaTheme="minorEastAsia" w:cstheme="minorEastAsia"/>
          <w:b w:val="0"/>
          <w:bCs w:val="0"/>
          <w:color w:val="auto"/>
          <w:sz w:val="24"/>
          <w:szCs w:val="24"/>
        </w:rPr>
        <w:t>如货物经乙方3次维修仍不能达到本合同约定的质量标准，视作乙方</w:t>
      </w:r>
      <w:r>
        <w:rPr>
          <w:rFonts w:hint="eastAsia" w:asciiTheme="minorEastAsia" w:hAnsiTheme="minorEastAsia" w:eastAsiaTheme="minorEastAsia" w:cstheme="minorEastAsia"/>
          <w:b w:val="0"/>
          <w:bCs w:val="0"/>
          <w:color w:val="auto"/>
          <w:sz w:val="24"/>
          <w:szCs w:val="24"/>
          <w:lang w:val="en-US" w:eastAsia="zh-CN"/>
        </w:rPr>
        <w:t>未交付符合合同约定的货物</w:t>
      </w:r>
      <w:r>
        <w:rPr>
          <w:rFonts w:hint="eastAsia" w:asciiTheme="minorEastAsia" w:hAnsiTheme="minorEastAsia" w:eastAsiaTheme="minorEastAsia" w:cstheme="minorEastAsia"/>
          <w:b w:val="0"/>
          <w:bCs w:val="0"/>
          <w:color w:val="auto"/>
          <w:sz w:val="24"/>
          <w:szCs w:val="24"/>
        </w:rPr>
        <w:t>，甲方有权退货并追究乙方的违约责任。</w:t>
      </w:r>
      <w:r>
        <w:rPr>
          <w:rFonts w:hint="eastAsia" w:asciiTheme="minorEastAsia" w:hAnsiTheme="minorEastAsia" w:eastAsiaTheme="minorEastAsia" w:cstheme="minorEastAsia"/>
          <w:b w:val="0"/>
          <w:bCs w:val="0"/>
          <w:color w:val="auto"/>
          <w:sz w:val="24"/>
          <w:szCs w:val="24"/>
          <w:lang w:val="en-US" w:eastAsia="zh-CN"/>
        </w:rPr>
        <w:t>若甲方选择退货的，乙方需在7日内全额返还甲方已支付款项，并在接到退货通知后3日内接回货物，3天内未接回的，毁损灭失的风险由乙方自行承担。</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乙方须指派专人负责与甲方联系售后服务事宜。</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6" w:name="_Toc217446113"/>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、违约责任</w:t>
      </w:r>
      <w:bookmarkEnd w:id="6"/>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乙方交付的货物质量不符合合同规定的，乙方应向甲方支付合同总价的</w:t>
      </w:r>
      <w:r>
        <w:rPr>
          <w:rFonts w:hint="eastAsia" w:asciiTheme="minorEastAsia" w:hAnsiTheme="minorEastAsia" w:eastAsiaTheme="minorEastAsia" w:cstheme="minorEastAsia"/>
          <w:b w:val="0"/>
          <w:bCs w:val="0"/>
          <w:color w:val="auto"/>
          <w:sz w:val="24"/>
          <w:szCs w:val="24"/>
          <w:lang w:eastAsia="zh-CN"/>
        </w:rPr>
        <w:t>5%</w:t>
      </w:r>
      <w:r>
        <w:rPr>
          <w:rFonts w:hint="eastAsia" w:asciiTheme="minorEastAsia" w:hAnsiTheme="minorEastAsia" w:eastAsiaTheme="minorEastAsia" w:cstheme="minorEastAsia"/>
          <w:b w:val="0"/>
          <w:bCs w:val="0"/>
          <w:color w:val="auto"/>
          <w:sz w:val="24"/>
          <w:szCs w:val="24"/>
        </w:rPr>
        <w:t>的违约金，并须在合同规定的交货时间内更换合格的货物给甲方，否则，视作乙方不能交付货物而违约，按本条本款下述第“（2）”项规定由乙方支付违约赔偿金给甲方。</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Cs/>
          <w:color w:val="auto"/>
          <w:sz w:val="24"/>
          <w:szCs w:val="24"/>
        </w:rPr>
        <w:t>乙方未按照合同约定履行</w:t>
      </w:r>
      <w:r>
        <w:rPr>
          <w:rFonts w:hint="eastAsia" w:asciiTheme="minorEastAsia" w:hAnsiTheme="minorEastAsia" w:eastAsiaTheme="minorEastAsia" w:cstheme="minorEastAsia"/>
          <w:bCs/>
          <w:color w:val="auto"/>
          <w:sz w:val="24"/>
          <w:szCs w:val="24"/>
          <w:lang w:val="en-US" w:eastAsia="zh-CN"/>
        </w:rPr>
        <w:t>供货</w:t>
      </w:r>
      <w:r>
        <w:rPr>
          <w:rFonts w:hint="eastAsia" w:asciiTheme="minorEastAsia" w:hAnsiTheme="minorEastAsia" w:eastAsiaTheme="minorEastAsia" w:cstheme="minorEastAsia"/>
          <w:bCs/>
          <w:color w:val="auto"/>
          <w:sz w:val="24"/>
          <w:szCs w:val="24"/>
        </w:rPr>
        <w:t>义务，每延迟一天扣合同总价的</w:t>
      </w:r>
      <w:r>
        <w:rPr>
          <w:rFonts w:hint="eastAsia" w:asciiTheme="minorEastAsia" w:hAnsiTheme="minorEastAsia" w:eastAsiaTheme="minorEastAsia" w:cstheme="minorEastAsia"/>
          <w:bCs/>
          <w:color w:val="auto"/>
          <w:sz w:val="24"/>
          <w:szCs w:val="24"/>
          <w:u w:val="single"/>
        </w:rPr>
        <w:t>5‰</w:t>
      </w:r>
      <w:r>
        <w:rPr>
          <w:rFonts w:hint="eastAsia" w:asciiTheme="minorEastAsia" w:hAnsiTheme="minorEastAsia" w:eastAsiaTheme="minorEastAsia" w:cstheme="minorEastAsia"/>
          <w:bCs/>
          <w:color w:val="auto"/>
          <w:sz w:val="24"/>
          <w:szCs w:val="24"/>
        </w:rPr>
        <w:t>作为违约金支付给甲方。</w:t>
      </w:r>
      <w:r>
        <w:rPr>
          <w:rFonts w:hint="eastAsia" w:asciiTheme="minorEastAsia" w:hAnsiTheme="minorEastAsia" w:eastAsiaTheme="minorEastAsia" w:cstheme="minorEastAsia"/>
          <w:bCs/>
          <w:color w:val="auto"/>
          <w:sz w:val="24"/>
          <w:szCs w:val="24"/>
          <w:lang w:val="en-US" w:eastAsia="zh-CN"/>
        </w:rPr>
        <w:t>自甲方要求供货之日起，乙方逾期60日未安装供货或安装供货货物验收不合格的，甲方有权解除合同，并要求乙方按合同总价的20%支付违约金。若</w:t>
      </w:r>
      <w:r>
        <w:rPr>
          <w:rFonts w:hint="eastAsia" w:asciiTheme="minorEastAsia" w:hAnsiTheme="minorEastAsia" w:eastAsiaTheme="minorEastAsia" w:cstheme="minorEastAsia"/>
          <w:color w:val="auto"/>
          <w:sz w:val="24"/>
          <w:szCs w:val="24"/>
        </w:rPr>
        <w:t>乙方支付的违约金不足以弥补甲方损失的，还应按甲方实际经济损失足额弥补。</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如涉及货物安装的，乙方安装过程中，应当注意安全。因乙方安装行为导致人员人身伤亡和财产损失（包括但不限于：甲方、乙方以及第三人），乙方负责承担损失赔偿责任。如因此导致甲方对外承担法律责任的，甲方有权向乙方全额追偿。</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Theme="minorEastAsia" w:hAnsiTheme="minorEastAsia" w:eastAsiaTheme="minorEastAsia" w:cstheme="minorEastAsia"/>
          <w:b w:val="0"/>
          <w:bCs w:val="0"/>
          <w:color w:val="auto"/>
          <w:sz w:val="24"/>
          <w:szCs w:val="24"/>
          <w:lang w:eastAsia="zh-CN"/>
        </w:rPr>
        <w:t>50%</w:t>
      </w:r>
      <w:r>
        <w:rPr>
          <w:rFonts w:hint="eastAsia" w:asciiTheme="minorEastAsia" w:hAnsiTheme="minorEastAsia" w:eastAsiaTheme="minorEastAsia" w:cstheme="minorEastAsia"/>
          <w:b w:val="0"/>
          <w:bCs w:val="0"/>
          <w:color w:val="auto"/>
          <w:sz w:val="24"/>
          <w:szCs w:val="24"/>
        </w:rPr>
        <w:t>向甲方支付违约金，并赔偿因此给甲方造成的一切损失。</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在质保期内，乙方不能如约履行质保义务的，以需要维修的产品金额为基数按照年利率24%计算资金占用利息；如甲方自行维修或委托第三方维修的，乙方按照甲方支出费用的双倍支付违约金。</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7" w:name="_Toc217446114"/>
      <w:r>
        <w:rPr>
          <w:rFonts w:hint="eastAsia" w:asciiTheme="minorEastAsia" w:hAnsiTheme="minorEastAsia" w:eastAsia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rPr>
        <w:t>、争议解决办法</w:t>
      </w:r>
      <w:bookmarkEnd w:id="7"/>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因货物的质量问题发生争议，由质量技术监督部门或其指定的质量鉴定机构进行质量鉴定，鉴定费用由乙方先行垫付。货物符合标准的，鉴定费由甲方承担；货物不符合质量标准的，鉴定费由乙方承担。</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因履行本合同导致的纠纷由甲乙双方本着诚信、友好之原则积极协商，如协商无果，可向甲方所在地人民法院提起诉讼。</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eastAsiaTheme="minorEastAsia" w:cstheme="minorEastAsia"/>
          <w:b/>
          <w:bCs/>
          <w:color w:val="auto"/>
          <w:sz w:val="24"/>
          <w:szCs w:val="24"/>
        </w:rPr>
        <w:t>、其他：</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本合同一式</w:t>
      </w:r>
      <w:r>
        <w:rPr>
          <w:rFonts w:hint="eastAsia" w:asciiTheme="minorEastAsia" w:hAnsiTheme="minorEastAsia" w:eastAsiaTheme="minorEastAsia" w:cstheme="minorEastAsia"/>
          <w:b w:val="0"/>
          <w:bCs w:val="0"/>
          <w:color w:val="auto"/>
          <w:sz w:val="24"/>
          <w:szCs w:val="24"/>
          <w:lang w:val="en-US" w:eastAsia="zh-CN"/>
        </w:rPr>
        <w:t>伍</w:t>
      </w:r>
      <w:r>
        <w:rPr>
          <w:rFonts w:hint="eastAsia" w:asciiTheme="minorEastAsia" w:hAnsiTheme="minorEastAsia" w:eastAsiaTheme="minorEastAsia" w:cstheme="minorEastAsia"/>
          <w:b w:val="0"/>
          <w:bCs w:val="0"/>
          <w:color w:val="auto"/>
          <w:sz w:val="24"/>
          <w:szCs w:val="24"/>
        </w:rPr>
        <w:t>份，甲方</w:t>
      </w:r>
      <w:r>
        <w:rPr>
          <w:rFonts w:hint="eastAsia" w:asciiTheme="minorEastAsia" w:hAnsiTheme="minorEastAsia" w:eastAsiaTheme="minorEastAsia" w:cstheme="minorEastAsia"/>
          <w:b w:val="0"/>
          <w:bCs w:val="0"/>
          <w:color w:val="auto"/>
          <w:sz w:val="24"/>
          <w:szCs w:val="24"/>
          <w:lang w:val="en-US" w:eastAsia="zh-CN"/>
        </w:rPr>
        <w:t>肆</w:t>
      </w:r>
      <w:r>
        <w:rPr>
          <w:rFonts w:hint="eastAsia" w:asciiTheme="minorEastAsia" w:hAnsiTheme="minorEastAsia" w:eastAsiaTheme="minorEastAsia" w:cstheme="minorEastAsia"/>
          <w:b w:val="0"/>
          <w:bCs w:val="0"/>
          <w:color w:val="auto"/>
          <w:sz w:val="24"/>
          <w:szCs w:val="24"/>
        </w:rPr>
        <w:t>份，乙方</w:t>
      </w:r>
      <w:r>
        <w:rPr>
          <w:rFonts w:hint="eastAsia" w:asciiTheme="minorEastAsia" w:hAnsiTheme="minorEastAsia" w:eastAsiaTheme="minorEastAsia" w:cstheme="minorEastAsia"/>
          <w:b w:val="0"/>
          <w:bCs w:val="0"/>
          <w:color w:val="auto"/>
          <w:sz w:val="24"/>
          <w:szCs w:val="24"/>
          <w:lang w:val="en-US" w:eastAsia="zh-CN"/>
        </w:rPr>
        <w:t>壹</w:t>
      </w:r>
      <w:r>
        <w:rPr>
          <w:rFonts w:hint="eastAsia" w:asciiTheme="minorEastAsia" w:hAnsiTheme="minorEastAsia" w:eastAsiaTheme="minorEastAsia" w:cstheme="minorEastAsia"/>
          <w:b w:val="0"/>
          <w:bCs w:val="0"/>
          <w:color w:val="auto"/>
          <w:sz w:val="24"/>
          <w:szCs w:val="24"/>
        </w:rPr>
        <w:t>份，甲乙双方签字及盖章后生效。</w:t>
      </w:r>
    </w:p>
    <w:p>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val="0"/>
          <w:bCs w:val="0"/>
          <w:color w:val="auto"/>
          <w:sz w:val="24"/>
          <w:szCs w:val="24"/>
        </w:rPr>
        <w:t>《招标（或比选）文件》及《配置清单》及工作人员培训计划</w:t>
      </w:r>
      <w:r>
        <w:rPr>
          <w:rFonts w:hint="eastAsia" w:asciiTheme="minorEastAsia" w:hAnsiTheme="minorEastAsia" w:eastAsiaTheme="minorEastAsia" w:cstheme="minorEastAsia"/>
          <w:b w:val="0"/>
          <w:bCs w:val="0"/>
          <w:color w:val="auto"/>
          <w:sz w:val="24"/>
          <w:szCs w:val="24"/>
          <w:lang w:val="en-US" w:eastAsia="zh-CN"/>
        </w:rPr>
        <w:t>及中标（成交）通知书</w:t>
      </w:r>
      <w:r>
        <w:rPr>
          <w:rFonts w:hint="eastAsia" w:asciiTheme="minorEastAsia" w:hAnsiTheme="minorEastAsia" w:eastAsiaTheme="minorEastAsia" w:cstheme="minorEastAsia"/>
          <w:b w:val="0"/>
          <w:bCs w:val="0"/>
          <w:color w:val="auto"/>
          <w:sz w:val="24"/>
          <w:szCs w:val="24"/>
        </w:rPr>
        <w:t>作为本合同附件，与合同条款具备相同效力。</w:t>
      </w:r>
    </w:p>
    <w:p>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val="0"/>
          <w:bCs w:val="0"/>
          <w:color w:val="auto"/>
          <w:sz w:val="24"/>
          <w:szCs w:val="24"/>
        </w:rPr>
        <w:t>合同及附件中中英文对照词汇，以中文内容为准。</w:t>
      </w:r>
    </w:p>
    <w:p>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、送达</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甲、乙双方关于本合同履行及相关事宜的通知，以及法院与国家机关因本合同争议发出的通知或司法文书（包括但不限于传票、判决书、裁定书、调解书等），应</w:t>
      </w:r>
      <w:r>
        <w:rPr>
          <w:rFonts w:hint="eastAsia" w:asciiTheme="minorEastAsia" w:hAnsiTheme="minorEastAsia" w:eastAsiaTheme="minorEastAsia" w:cstheme="minorEastAsia"/>
          <w:b w:val="0"/>
          <w:bCs w:val="0"/>
          <w:color w:val="auto"/>
          <w:sz w:val="24"/>
          <w:szCs w:val="24"/>
          <w:lang w:eastAsia="zh-CN"/>
        </w:rPr>
        <w:t>送达</w:t>
      </w:r>
      <w:r>
        <w:rPr>
          <w:rFonts w:hint="eastAsia" w:asciiTheme="minorEastAsia" w:hAnsiTheme="minorEastAsia" w:eastAsiaTheme="minorEastAsia" w:cstheme="minorEastAsia"/>
          <w:b w:val="0"/>
          <w:bCs w:val="0"/>
          <w:color w:val="auto"/>
          <w:sz w:val="24"/>
          <w:szCs w:val="24"/>
        </w:rPr>
        <w:t>甲乙双方在本合同中提供的地址或在此之后一方以书面形式通知另一方的其他地址。该等通知以专人递送在收到时视为正式送达</w:t>
      </w:r>
      <w:r>
        <w:rPr>
          <w:rFonts w:hint="eastAsia" w:asciiTheme="minorEastAsia" w:hAnsiTheme="minorEastAsia" w:eastAsiaTheme="minorEastAsia" w:cstheme="minorEastAsia"/>
          <w:b w:val="0"/>
          <w:bCs w:val="0"/>
          <w:color w:val="auto"/>
          <w:sz w:val="24"/>
          <w:szCs w:val="24"/>
          <w:lang w:eastAsia="zh-CN"/>
        </w:rPr>
        <w:t>或</w:t>
      </w:r>
      <w:r>
        <w:rPr>
          <w:rFonts w:hint="eastAsia" w:asciiTheme="minorEastAsia" w:hAnsiTheme="minorEastAsia" w:eastAsiaTheme="minorEastAsia" w:cstheme="minorEastAsia"/>
          <w:b w:val="0"/>
          <w:bCs w:val="0"/>
          <w:color w:val="auto"/>
          <w:sz w:val="24"/>
          <w:szCs w:val="24"/>
        </w:rPr>
        <w:t>以邮寄方式寄出3个工作日后视为正式送达，或以快递方式在交付后的第3个工作日视为正式送达。若一方地址发生变动，应及时书面通知另一方，否则仍以本合同载明的文书送达地址为准。</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纳税人识别号</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纳税人识别号</w:t>
            </w:r>
            <w:r>
              <w:rPr>
                <w:rFonts w:hint="eastAsia" w:ascii="宋体" w:hAnsi="宋体" w:eastAsia="宋体" w:cs="宋体"/>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合同签订日期：</w:t>
            </w:r>
            <w:r>
              <w:rPr>
                <w:rFonts w:hint="eastAsia" w:ascii="宋体" w:hAnsi="宋体" w:cs="宋体"/>
                <w:color w:val="auto"/>
                <w:sz w:val="24"/>
                <w:szCs w:val="24"/>
                <w:highlight w:val="none"/>
                <w:lang w:val="en-US" w:eastAsia="zh-CN"/>
              </w:rPr>
              <w:t xml:space="preserve">    年    月    日</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合同签订日期：</w:t>
            </w:r>
            <w:r>
              <w:rPr>
                <w:rFonts w:hint="eastAsia" w:ascii="宋体" w:hAnsi="宋体" w:cs="宋体"/>
                <w:color w:val="auto"/>
                <w:sz w:val="24"/>
                <w:szCs w:val="24"/>
                <w:highlight w:val="none"/>
                <w:lang w:val="en-US" w:eastAsia="zh-CN"/>
              </w:rPr>
              <w:t xml:space="preserve">    年    月    日</w:t>
            </w:r>
          </w:p>
        </w:tc>
      </w:tr>
    </w:tbl>
    <w:p>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w:t>
      </w:r>
    </w:p>
    <w:p>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配置清单</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default" w:ascii="仿宋_GB2312" w:hAnsi="仿宋_GB2312" w:eastAsia="仿宋_GB2312" w:cs="仿宋_GB2312"/>
          <w:color w:val="auto"/>
          <w:sz w:val="28"/>
          <w:szCs w:val="28"/>
          <w:lang w:val="en-US" w:eastAsia="zh-CN"/>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val="en-US" w:eastAsia="en-US"/>
        </w:rPr>
      </w:pPr>
    </w:p>
    <w:sectPr>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F30046-69C6-45A1-A2A4-C8D720E23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04CE09-C377-4228-90F0-0FAA09C2381E}"/>
  </w:font>
  <w:font w:name="Bookman Old Style">
    <w:panose1 w:val="020506040505050202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93B3EAA0-F24B-4E3C-926C-5BCB04D468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165668"/>
    <w:rsid w:val="035F7E52"/>
    <w:rsid w:val="039D18E6"/>
    <w:rsid w:val="04F11B66"/>
    <w:rsid w:val="066B5CCB"/>
    <w:rsid w:val="06EC048E"/>
    <w:rsid w:val="07323C5D"/>
    <w:rsid w:val="07741257"/>
    <w:rsid w:val="086C156F"/>
    <w:rsid w:val="08C94F2B"/>
    <w:rsid w:val="092C112F"/>
    <w:rsid w:val="097D1872"/>
    <w:rsid w:val="0A32289A"/>
    <w:rsid w:val="0A4043CD"/>
    <w:rsid w:val="0AA03A6A"/>
    <w:rsid w:val="0AB62875"/>
    <w:rsid w:val="0AB706E8"/>
    <w:rsid w:val="0D4977E2"/>
    <w:rsid w:val="0DFF7B1E"/>
    <w:rsid w:val="0F023E19"/>
    <w:rsid w:val="11AF0D5D"/>
    <w:rsid w:val="12505D75"/>
    <w:rsid w:val="13456A27"/>
    <w:rsid w:val="14103A0E"/>
    <w:rsid w:val="14A34882"/>
    <w:rsid w:val="14EF77DE"/>
    <w:rsid w:val="16545BA2"/>
    <w:rsid w:val="16D04278"/>
    <w:rsid w:val="16D056D6"/>
    <w:rsid w:val="18980476"/>
    <w:rsid w:val="189D4889"/>
    <w:rsid w:val="19E77727"/>
    <w:rsid w:val="1A3A1FB2"/>
    <w:rsid w:val="1A8769F4"/>
    <w:rsid w:val="1BC71E6E"/>
    <w:rsid w:val="1C1B7A47"/>
    <w:rsid w:val="1CCC4B92"/>
    <w:rsid w:val="1D61402B"/>
    <w:rsid w:val="1DCF4C7E"/>
    <w:rsid w:val="1EAC02BD"/>
    <w:rsid w:val="200A3E37"/>
    <w:rsid w:val="20400D6A"/>
    <w:rsid w:val="222204BA"/>
    <w:rsid w:val="22DF73CD"/>
    <w:rsid w:val="24A3267C"/>
    <w:rsid w:val="26EA00EF"/>
    <w:rsid w:val="28856217"/>
    <w:rsid w:val="294A30C6"/>
    <w:rsid w:val="29CE2B65"/>
    <w:rsid w:val="29D93476"/>
    <w:rsid w:val="2A64640A"/>
    <w:rsid w:val="2A6A0889"/>
    <w:rsid w:val="2A921E30"/>
    <w:rsid w:val="2C3317E7"/>
    <w:rsid w:val="2C7A7BA5"/>
    <w:rsid w:val="2CB5119F"/>
    <w:rsid w:val="2F4B7B98"/>
    <w:rsid w:val="2F9D4864"/>
    <w:rsid w:val="32607DFF"/>
    <w:rsid w:val="33435756"/>
    <w:rsid w:val="33725533"/>
    <w:rsid w:val="34627E5E"/>
    <w:rsid w:val="35CB1A33"/>
    <w:rsid w:val="35E637E5"/>
    <w:rsid w:val="367E63F9"/>
    <w:rsid w:val="37103BA1"/>
    <w:rsid w:val="37B61084"/>
    <w:rsid w:val="380F5C07"/>
    <w:rsid w:val="38770CBE"/>
    <w:rsid w:val="38E066E2"/>
    <w:rsid w:val="39E72CC9"/>
    <w:rsid w:val="3A6E1653"/>
    <w:rsid w:val="3A944CB8"/>
    <w:rsid w:val="3AA80595"/>
    <w:rsid w:val="3D597924"/>
    <w:rsid w:val="3E371A14"/>
    <w:rsid w:val="3E775084"/>
    <w:rsid w:val="3F012022"/>
    <w:rsid w:val="40A00055"/>
    <w:rsid w:val="41B84C62"/>
    <w:rsid w:val="42556256"/>
    <w:rsid w:val="454964D0"/>
    <w:rsid w:val="45594965"/>
    <w:rsid w:val="47250A55"/>
    <w:rsid w:val="4B2C0426"/>
    <w:rsid w:val="4C03492F"/>
    <w:rsid w:val="4C5771F3"/>
    <w:rsid w:val="4DCC409B"/>
    <w:rsid w:val="4DFC0584"/>
    <w:rsid w:val="4EA43508"/>
    <w:rsid w:val="4EB1136E"/>
    <w:rsid w:val="4ED259FB"/>
    <w:rsid w:val="4F367C65"/>
    <w:rsid w:val="50D74A4C"/>
    <w:rsid w:val="53D045E2"/>
    <w:rsid w:val="54065CB8"/>
    <w:rsid w:val="54817F20"/>
    <w:rsid w:val="54F45C94"/>
    <w:rsid w:val="553E6EE0"/>
    <w:rsid w:val="5732704A"/>
    <w:rsid w:val="57D36B09"/>
    <w:rsid w:val="58083E73"/>
    <w:rsid w:val="588D4BFA"/>
    <w:rsid w:val="596D45F7"/>
    <w:rsid w:val="5AB83A84"/>
    <w:rsid w:val="5C5B7E08"/>
    <w:rsid w:val="5C9221C8"/>
    <w:rsid w:val="5D641D7E"/>
    <w:rsid w:val="5D9D7F84"/>
    <w:rsid w:val="5DA77BB9"/>
    <w:rsid w:val="604069F6"/>
    <w:rsid w:val="60DA5BD2"/>
    <w:rsid w:val="61654558"/>
    <w:rsid w:val="6205092E"/>
    <w:rsid w:val="621E2D67"/>
    <w:rsid w:val="626B5013"/>
    <w:rsid w:val="630E339F"/>
    <w:rsid w:val="645B3DFE"/>
    <w:rsid w:val="649B337D"/>
    <w:rsid w:val="655B7E2E"/>
    <w:rsid w:val="657F58CB"/>
    <w:rsid w:val="65A02A6F"/>
    <w:rsid w:val="65BB3441"/>
    <w:rsid w:val="65C506A9"/>
    <w:rsid w:val="69022377"/>
    <w:rsid w:val="697477BE"/>
    <w:rsid w:val="69FB573C"/>
    <w:rsid w:val="6A8B4C4A"/>
    <w:rsid w:val="6A921C7A"/>
    <w:rsid w:val="6B923E7E"/>
    <w:rsid w:val="6BAE515B"/>
    <w:rsid w:val="6BF80185"/>
    <w:rsid w:val="6C641E77"/>
    <w:rsid w:val="6D2F4F04"/>
    <w:rsid w:val="6DEE7CCE"/>
    <w:rsid w:val="6EAF5EB0"/>
    <w:rsid w:val="6EE82732"/>
    <w:rsid w:val="6F0926A9"/>
    <w:rsid w:val="6F6D5A92"/>
    <w:rsid w:val="6F6E67C7"/>
    <w:rsid w:val="6F8A2417"/>
    <w:rsid w:val="6FF24B22"/>
    <w:rsid w:val="70E54E67"/>
    <w:rsid w:val="711D243B"/>
    <w:rsid w:val="73B0768A"/>
    <w:rsid w:val="74CE5F27"/>
    <w:rsid w:val="75E97B4F"/>
    <w:rsid w:val="766156EC"/>
    <w:rsid w:val="78E819E6"/>
    <w:rsid w:val="7A1D2B48"/>
    <w:rsid w:val="7A2D5169"/>
    <w:rsid w:val="7ABB4647"/>
    <w:rsid w:val="7BA15D4D"/>
    <w:rsid w:val="7BAB7162"/>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List Paragraph"/>
    <w:basedOn w:val="1"/>
    <w:autoRedefine/>
    <w:qFormat/>
    <w:uiPriority w:val="0"/>
    <w:pPr>
      <w:ind w:firstLine="200" w:firstLineChars="200"/>
    </w:pPr>
    <w:rPr>
      <w:szCs w:val="24"/>
    </w:rPr>
  </w:style>
  <w:style w:type="paragraph" w:customStyle="1" w:styleId="12">
    <w:name w:val="正文文本缩进1"/>
    <w:basedOn w:val="1"/>
    <w:autoRedefine/>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7338</Words>
  <Characters>7641</Characters>
  <Lines>0</Lines>
  <Paragraphs>0</Paragraphs>
  <TotalTime>26</TotalTime>
  <ScaleCrop>false</ScaleCrop>
  <LinksUpToDate>false</LinksUpToDate>
  <CharactersWithSpaces>7702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独来独往</cp:lastModifiedBy>
  <cp:lastPrinted>2025-10-13T07:40:00Z</cp:lastPrinted>
  <dcterms:modified xsi:type="dcterms:W3CDTF">2025-10-20T10:07:26Z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eyJoZGlkIjoiZGI1MTY5NjYyNDE1MjFlZTBlYmYzNWNkMjFhYTUxZjIiLCJ1c2VySWQiOiI0NDE1MzI1OTQifQ==</vt:lpwstr>
  </property>
  <property fmtid="{D5CDD505-2E9C-101B-9397-08002B2CF9AE}" pid="4" name="ICV">
    <vt:lpwstr>53B77D44A04C44F1A47D530954B583F7_13</vt:lpwstr>
  </property>
</Properties>
</file>