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骨科部分设备</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NYCG-2510-ZB-05</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骨科部分设备</w:t>
      </w:r>
      <w:r>
        <w:rPr>
          <w:rFonts w:hint="eastAsia" w:ascii="仿宋_GB2312" w:hAnsi="仿宋_GB2312" w:eastAsia="仿宋_GB2312" w:cs="仿宋_GB2312"/>
          <w:color w:val="auto"/>
          <w:spacing w:val="14"/>
          <w:sz w:val="28"/>
          <w:szCs w:val="28"/>
        </w:rPr>
        <w:t>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val="0"/>
          <w:bCs w:val="0"/>
          <w:color w:val="auto"/>
          <w:sz w:val="32"/>
          <w:szCs w:val="32"/>
          <w:lang w:val="en-US" w:eastAsia="zh-CN"/>
        </w:rPr>
        <w:t>NYCG-2510-ZB-0</w:t>
      </w:r>
      <w:r>
        <w:rPr>
          <w:rFonts w:hint="eastAsia" w:ascii="仿宋_GB2312" w:hAnsi="仿宋_GB2312" w:eastAsia="仿宋_GB2312" w:cs="仿宋_GB2312"/>
          <w:b w:val="0"/>
          <w:bCs w:val="0"/>
          <w:color w:val="auto"/>
          <w:sz w:val="32"/>
          <w:szCs w:val="32"/>
          <w:lang w:val="en-US" w:eastAsia="zh-CN"/>
        </w:rPr>
        <w:t>5</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二、项目名称：南江县人民医院骨科部分设备院内采购项目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w:t>
      </w:r>
    </w:p>
    <w:tbl>
      <w:tblPr>
        <w:tblStyle w:val="6"/>
        <w:tblW w:w="8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3655"/>
        <w:gridCol w:w="1005"/>
        <w:gridCol w:w="825"/>
        <w:gridCol w:w="1325"/>
        <w:gridCol w:w="1353"/>
      </w:tblGrid>
      <w:tr w14:paraId="3596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2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序号</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4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设备名称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E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C2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4AA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控制单价/元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17F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总价/元</w:t>
            </w:r>
          </w:p>
        </w:tc>
      </w:tr>
      <w:tr w14:paraId="19D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0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98EB">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光子治疗仪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7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1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8A9">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30000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F6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bidi="ar"/>
              </w:rPr>
              <w:t>30000</w:t>
            </w:r>
          </w:p>
        </w:tc>
      </w:tr>
      <w:tr w14:paraId="70DD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A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EB7">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多频震动排痰仪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E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F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D2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16000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A57">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16000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lang w:val="en-US" w:eastAsia="zh-CN"/>
        </w:rPr>
        <w:t>单价限价，</w:t>
      </w:r>
      <w:r>
        <w:rPr>
          <w:rFonts w:hint="eastAsia" w:ascii="仿宋_GB2312" w:hAnsi="仿宋_GB2312" w:eastAsia="仿宋_GB2312" w:cs="仿宋_GB2312"/>
          <w:color w:val="auto"/>
          <w:spacing w:val="2"/>
          <w:sz w:val="28"/>
          <w:szCs w:val="28"/>
        </w:rPr>
        <w:t>报价金额高于</w:t>
      </w:r>
      <w:r>
        <w:rPr>
          <w:rFonts w:hint="eastAsia" w:ascii="仿宋_GB2312" w:hAnsi="仿宋_GB2312" w:eastAsia="仿宋_GB2312" w:cs="仿宋_GB2312"/>
          <w:color w:val="auto"/>
          <w:spacing w:val="-1"/>
          <w:sz w:val="28"/>
          <w:szCs w:val="28"/>
          <w:vertAlign w:val="baseline"/>
          <w:lang w:val="en-US" w:eastAsia="zh-CN"/>
        </w:rPr>
        <w:t>控制单价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tbl>
      <w:tblPr>
        <w:tblStyle w:val="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10"/>
        <w:gridCol w:w="7056"/>
      </w:tblGrid>
      <w:tr w14:paraId="41EB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291A102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序号</w:t>
            </w:r>
          </w:p>
        </w:tc>
        <w:tc>
          <w:tcPr>
            <w:tcW w:w="1410" w:type="dxa"/>
            <w:vAlign w:val="center"/>
          </w:tcPr>
          <w:p w14:paraId="3253C14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设备名称</w:t>
            </w:r>
          </w:p>
        </w:tc>
        <w:tc>
          <w:tcPr>
            <w:tcW w:w="7056" w:type="dxa"/>
            <w:vAlign w:val="center"/>
          </w:tcPr>
          <w:p w14:paraId="3E83B16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技术参数</w:t>
            </w:r>
          </w:p>
        </w:tc>
      </w:tr>
      <w:tr w14:paraId="377E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0EE91B5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w:t>
            </w:r>
          </w:p>
        </w:tc>
        <w:tc>
          <w:tcPr>
            <w:tcW w:w="1410" w:type="dxa"/>
            <w:vAlign w:val="center"/>
          </w:tcPr>
          <w:p w14:paraId="5D72C61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光子治疗仪</w:t>
            </w:r>
          </w:p>
        </w:tc>
        <w:tc>
          <w:tcPr>
            <w:tcW w:w="7056" w:type="dxa"/>
            <w:vAlign w:val="center"/>
          </w:tcPr>
          <w:p w14:paraId="28ABD5B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1.功能要求：辅助炎症性皮肤疾病的消炎、镇痛、加速伤口愈合；辅助治疗痤疮。</w:t>
            </w:r>
          </w:p>
          <w:p w14:paraId="1660CE7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2.液晶触摸屏操作与显示。</w:t>
            </w:r>
          </w:p>
          <w:p w14:paraId="7CD62A4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3.输出方式：红光、蓝光两种输出方式，可随意转换，无需更换治疗头。光辐照强度从最低档到最高档辐照度逐渐增强。最大治疗面积可达≥800cm</w:t>
            </w:r>
            <w:r>
              <w:rPr>
                <w:rFonts w:hint="eastAsia" w:ascii="仿宋" w:hAnsi="仿宋" w:eastAsia="仿宋" w:cs="仿宋"/>
                <w:b w:val="0"/>
                <w:bCs w:val="0"/>
                <w:color w:val="auto"/>
                <w:spacing w:val="-6"/>
                <w:sz w:val="28"/>
                <w:szCs w:val="28"/>
                <w:vertAlign w:val="superscript"/>
                <w:lang w:val="en-US" w:eastAsia="zh-CN"/>
              </w:rPr>
              <w:t>2</w:t>
            </w:r>
          </w:p>
          <w:p w14:paraId="326B36E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4.输出强度:≥5档可调</w:t>
            </w:r>
          </w:p>
          <w:p w14:paraId="11DC42C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5.时间设定：0～99min内连续可调</w:t>
            </w:r>
          </w:p>
          <w:p w14:paraId="0E26F7E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6.红光峰值波长620～640nm，蓝光峰值波长450～470nm</w:t>
            </w:r>
          </w:p>
          <w:p w14:paraId="380E95B0">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7.灯头可升降调节：升降臂采用大扭矩、长臂展支架，活动范围围广，悬停效果好。</w:t>
            </w:r>
          </w:p>
          <w:p w14:paraId="5203011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8.一体推车式设计，灯头可升降调节，急停开关，意外状况可随时停止治疗，具有遮光装置。</w:t>
            </w:r>
          </w:p>
          <w:p w14:paraId="374A4FCD">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9.超温保护功能：灯头内部温度超过设定治疗温度时，红蓝光会停止输出</w:t>
            </w:r>
          </w:p>
          <w:p w14:paraId="39A0608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10.配备防护眼罩和防护眼镜</w:t>
            </w:r>
          </w:p>
          <w:p w14:paraId="1953B31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11.使用期限≥8年</w:t>
            </w:r>
            <w:bookmarkStart w:id="0" w:name="_GoBack"/>
            <w:bookmarkEnd w:id="0"/>
          </w:p>
        </w:tc>
      </w:tr>
      <w:tr w14:paraId="6CBC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30CC0E0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w:t>
            </w:r>
          </w:p>
        </w:tc>
        <w:tc>
          <w:tcPr>
            <w:tcW w:w="1410" w:type="dxa"/>
            <w:vAlign w:val="center"/>
          </w:tcPr>
          <w:p w14:paraId="142E1EF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多频振动排痰仪</w:t>
            </w:r>
          </w:p>
        </w:tc>
        <w:tc>
          <w:tcPr>
            <w:tcW w:w="7056" w:type="dxa"/>
            <w:vAlign w:val="center"/>
          </w:tcPr>
          <w:p w14:paraId="175952B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配置及功能：由主机、传动软轴及叩击头等组成。其原理在病人身体表面产生特定方向周期变化的治疗力，其中垂直方向治疗力产生的叩击、震颤可促使呼吸道黏膜表面黏液代谢物松动、液化；水平方向治疗力产生的定向挤推、震颤帮助已经液化的黏液按照既定方向排出体外</w:t>
            </w:r>
          </w:p>
          <w:p w14:paraId="3063D2A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2.显示形式：液晶触摸屏</w:t>
            </w:r>
          </w:p>
          <w:p w14:paraId="406AE7E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3.动力输出通道数：双通道，可独立输出</w:t>
            </w:r>
          </w:p>
          <w:p w14:paraId="2993098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4.定时：设置范围为5～60分钟可调，治疗结束后具有声音提示功能。振动频率显示设置值与实际输出值一致，输出精准。</w:t>
            </w:r>
          </w:p>
          <w:p w14:paraId="1D743BC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5.传动软轴长度≥1.8m，不会断裂；操作过程中动力头手柄可360°自由旋转，叩击头可根据患者情况切换，便于清洁、消毒，免拆机更换，操作轻便。</w:t>
            </w:r>
          </w:p>
          <w:p w14:paraId="7843E77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6.工作模式：手动模式治疗时间1min～60min连续可调，治疗频率 10HZ～60Hz连续可调、自动模式5min～20min可调两种。</w:t>
            </w:r>
          </w:p>
          <w:p w14:paraId="4204427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7.噪声小，设备运行工作时不影响其他各类监护设备运行。</w:t>
            </w:r>
          </w:p>
          <w:p w14:paraId="6ACC026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8.使用期限≥8年</w:t>
            </w:r>
          </w:p>
        </w:tc>
      </w:tr>
    </w:tbl>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时间：2025年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日  15:00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报名供应商现场报价。按最终报价由低到高排序，</w:t>
      </w:r>
      <w:r>
        <w:rPr>
          <w:rFonts w:hint="eastAsia" w:ascii="仿宋_GB2312" w:hAnsi="仿宋_GB2312" w:eastAsia="仿宋_GB2312" w:cs="仿宋_GB2312"/>
          <w:color w:val="auto"/>
          <w:spacing w:val="6"/>
          <w:sz w:val="28"/>
          <w:szCs w:val="28"/>
        </w:rPr>
        <w:t>报价最低者直接确定为成交单位。最终报价相同的组织</w:t>
      </w:r>
      <w:r>
        <w:rPr>
          <w:rFonts w:hint="eastAsia" w:ascii="仿宋_GB2312" w:hAnsi="仿宋_GB2312" w:eastAsia="仿宋_GB2312" w:cs="仿宋_GB2312"/>
          <w:color w:val="auto"/>
          <w:spacing w:val="5"/>
          <w:sz w:val="28"/>
          <w:szCs w:val="28"/>
        </w:rPr>
        <w:t>报价单位抽签确定</w:t>
      </w:r>
      <w:r>
        <w:rPr>
          <w:rFonts w:hint="eastAsia" w:ascii="仿宋_GB2312" w:hAnsi="仿宋_GB2312" w:eastAsia="仿宋_GB2312" w:cs="仿宋_GB2312"/>
          <w:color w:val="auto"/>
          <w:spacing w:val="-4"/>
          <w:sz w:val="28"/>
          <w:szCs w:val="28"/>
        </w:rPr>
        <w:t>成交单位。</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873"/>
        <w:gridCol w:w="873"/>
        <w:gridCol w:w="873"/>
        <w:gridCol w:w="873"/>
        <w:gridCol w:w="873"/>
        <w:gridCol w:w="873"/>
        <w:gridCol w:w="873"/>
        <w:gridCol w:w="877"/>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8"/>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873"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873"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873"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873"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73"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873"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873"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877"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3"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8"/>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60624D-0953-44EB-8B85-018BA654A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358BA4-1C04-47EC-BCF0-98B61B65E161}"/>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C44E595F-EE68-4FD1-9A1F-774955C54651}"/>
  </w:font>
  <w:font w:name="仿宋_GB2312">
    <w:panose1 w:val="02010609030101010101"/>
    <w:charset w:val="86"/>
    <w:family w:val="auto"/>
    <w:pitch w:val="default"/>
    <w:sig w:usb0="00000001" w:usb1="080E0000" w:usb2="00000000" w:usb3="00000000" w:csb0="00040000" w:csb1="00000000"/>
    <w:embedRegular r:id="rId4" w:fontKey="{E41FD53E-840F-48BE-A4A0-DB5DA7A74EC1}"/>
  </w:font>
  <w:font w:name="仿宋">
    <w:panose1 w:val="02010609060101010101"/>
    <w:charset w:val="86"/>
    <w:family w:val="auto"/>
    <w:pitch w:val="default"/>
    <w:sig w:usb0="800002BF" w:usb1="38CF7CFA" w:usb2="00000016" w:usb3="00000000" w:csb0="00040001" w:csb1="00000000"/>
    <w:embedRegular r:id="rId5" w:fontKey="{23FE8FA5-0D0F-4263-A4FF-7345C459C5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733E26"/>
    <w:rsid w:val="00EF16FF"/>
    <w:rsid w:val="013025B4"/>
    <w:rsid w:val="02755A92"/>
    <w:rsid w:val="031C07A5"/>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6938A9"/>
    <w:rsid w:val="16D04278"/>
    <w:rsid w:val="16D056D6"/>
    <w:rsid w:val="18666EF1"/>
    <w:rsid w:val="18980476"/>
    <w:rsid w:val="189D4889"/>
    <w:rsid w:val="19E77727"/>
    <w:rsid w:val="1A3A1FB2"/>
    <w:rsid w:val="1A684261"/>
    <w:rsid w:val="1A80583A"/>
    <w:rsid w:val="1BC71E6E"/>
    <w:rsid w:val="1D61402B"/>
    <w:rsid w:val="1E3C155B"/>
    <w:rsid w:val="1EAC02BD"/>
    <w:rsid w:val="201E6FC3"/>
    <w:rsid w:val="202D213C"/>
    <w:rsid w:val="21050673"/>
    <w:rsid w:val="212C5C7E"/>
    <w:rsid w:val="21303941"/>
    <w:rsid w:val="21917C6C"/>
    <w:rsid w:val="22DF73CD"/>
    <w:rsid w:val="24912949"/>
    <w:rsid w:val="24A3267C"/>
    <w:rsid w:val="266B71CA"/>
    <w:rsid w:val="26913EC4"/>
    <w:rsid w:val="26EA00EF"/>
    <w:rsid w:val="26F471BF"/>
    <w:rsid w:val="273A6663"/>
    <w:rsid w:val="28856217"/>
    <w:rsid w:val="297D524A"/>
    <w:rsid w:val="29CE2B65"/>
    <w:rsid w:val="29D93476"/>
    <w:rsid w:val="2A64640A"/>
    <w:rsid w:val="2A921E30"/>
    <w:rsid w:val="2B0A5125"/>
    <w:rsid w:val="2C3317E7"/>
    <w:rsid w:val="2C7A7BA5"/>
    <w:rsid w:val="2EF647DE"/>
    <w:rsid w:val="2F4B7B98"/>
    <w:rsid w:val="2F9D4864"/>
    <w:rsid w:val="33435756"/>
    <w:rsid w:val="33725533"/>
    <w:rsid w:val="345B220F"/>
    <w:rsid w:val="34627E5E"/>
    <w:rsid w:val="35E637E5"/>
    <w:rsid w:val="367E2601"/>
    <w:rsid w:val="37103BA1"/>
    <w:rsid w:val="377A54BF"/>
    <w:rsid w:val="37B61084"/>
    <w:rsid w:val="380F5C07"/>
    <w:rsid w:val="38770CBE"/>
    <w:rsid w:val="38E066E2"/>
    <w:rsid w:val="39A85699"/>
    <w:rsid w:val="39E72CC9"/>
    <w:rsid w:val="3A6E1653"/>
    <w:rsid w:val="3A944CB8"/>
    <w:rsid w:val="3AA80595"/>
    <w:rsid w:val="3D597924"/>
    <w:rsid w:val="3D762284"/>
    <w:rsid w:val="3D8C298A"/>
    <w:rsid w:val="40A00055"/>
    <w:rsid w:val="41B84C62"/>
    <w:rsid w:val="420662CD"/>
    <w:rsid w:val="42556256"/>
    <w:rsid w:val="43343458"/>
    <w:rsid w:val="442671C8"/>
    <w:rsid w:val="454964D0"/>
    <w:rsid w:val="47250A55"/>
    <w:rsid w:val="47A948B2"/>
    <w:rsid w:val="49C425C9"/>
    <w:rsid w:val="4A7B537E"/>
    <w:rsid w:val="4B117A90"/>
    <w:rsid w:val="4B2C0426"/>
    <w:rsid w:val="4C03492F"/>
    <w:rsid w:val="4C3C0227"/>
    <w:rsid w:val="4C5771F3"/>
    <w:rsid w:val="4CEE0B32"/>
    <w:rsid w:val="4DB74893"/>
    <w:rsid w:val="4DFC0584"/>
    <w:rsid w:val="4E7B3B9E"/>
    <w:rsid w:val="4EA43508"/>
    <w:rsid w:val="4ED259FB"/>
    <w:rsid w:val="4F0E056F"/>
    <w:rsid w:val="4F367C65"/>
    <w:rsid w:val="4F654A4F"/>
    <w:rsid w:val="4FEC1657"/>
    <w:rsid w:val="509B22D6"/>
    <w:rsid w:val="50D74A4C"/>
    <w:rsid w:val="530002C1"/>
    <w:rsid w:val="53D045E2"/>
    <w:rsid w:val="53E43B27"/>
    <w:rsid w:val="54817F20"/>
    <w:rsid w:val="558C043F"/>
    <w:rsid w:val="576469B4"/>
    <w:rsid w:val="57D36B09"/>
    <w:rsid w:val="58083E73"/>
    <w:rsid w:val="5809221B"/>
    <w:rsid w:val="58A9755A"/>
    <w:rsid w:val="58DF3B4A"/>
    <w:rsid w:val="596D45F7"/>
    <w:rsid w:val="5AB83A84"/>
    <w:rsid w:val="5ABB1768"/>
    <w:rsid w:val="5C9221C8"/>
    <w:rsid w:val="5D641D7E"/>
    <w:rsid w:val="5D8658A5"/>
    <w:rsid w:val="5DA77BB9"/>
    <w:rsid w:val="5DB81DEE"/>
    <w:rsid w:val="5DC170F4"/>
    <w:rsid w:val="60DA5BD2"/>
    <w:rsid w:val="61654558"/>
    <w:rsid w:val="6205092E"/>
    <w:rsid w:val="626B5013"/>
    <w:rsid w:val="626D15F8"/>
    <w:rsid w:val="630E339F"/>
    <w:rsid w:val="63493E13"/>
    <w:rsid w:val="645B3DFE"/>
    <w:rsid w:val="649B337D"/>
    <w:rsid w:val="65BB3441"/>
    <w:rsid w:val="65C506A9"/>
    <w:rsid w:val="69022377"/>
    <w:rsid w:val="6A491493"/>
    <w:rsid w:val="6A8B4C4A"/>
    <w:rsid w:val="6BAE515B"/>
    <w:rsid w:val="6BF80185"/>
    <w:rsid w:val="6D2F4F04"/>
    <w:rsid w:val="6E4F50A1"/>
    <w:rsid w:val="6EAF5EB0"/>
    <w:rsid w:val="6F6D5A92"/>
    <w:rsid w:val="6F6E67C7"/>
    <w:rsid w:val="6F8A2417"/>
    <w:rsid w:val="6F8B0168"/>
    <w:rsid w:val="6FC52A74"/>
    <w:rsid w:val="711D243B"/>
    <w:rsid w:val="71F8736C"/>
    <w:rsid w:val="73B0768A"/>
    <w:rsid w:val="74CE5F27"/>
    <w:rsid w:val="757310EA"/>
    <w:rsid w:val="75BF063E"/>
    <w:rsid w:val="75D752AF"/>
    <w:rsid w:val="766156EC"/>
    <w:rsid w:val="77B51620"/>
    <w:rsid w:val="78006113"/>
    <w:rsid w:val="78E819E6"/>
    <w:rsid w:val="78EC6CA2"/>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8004</Words>
  <Characters>8292</Characters>
  <Lines>0</Lines>
  <Paragraphs>0</Paragraphs>
  <TotalTime>227</TotalTime>
  <ScaleCrop>false</ScaleCrop>
  <LinksUpToDate>false</LinksUpToDate>
  <CharactersWithSpaces>8329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张翼</cp:lastModifiedBy>
  <cp:lastPrinted>2025-11-07T07:01:38Z</cp:lastPrinted>
  <dcterms:modified xsi:type="dcterms:W3CDTF">2025-11-07T07:02:12Z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eyJoZGlkIjoiOWY0MGUwNzI3MTljZTViMGY3YzBhOWMyMzg4NzJlNTYiLCJ1c2VySWQiOiIxNzY3MDg3MDI0In0=</vt:lpwstr>
  </property>
  <property fmtid="{D5CDD505-2E9C-101B-9397-08002B2CF9AE}" pid="4" name="ICV">
    <vt:lpwstr>C08A3867D8E14E1DAA2C37D84192CD40_13</vt:lpwstr>
  </property>
</Properties>
</file>