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熏蒸治疗仪</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NYCG-26009-ZB</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0523B71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C911344">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D86DA9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议</w:t>
      </w:r>
    </w:p>
    <w:p w14:paraId="45D6546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价</w:t>
      </w:r>
    </w:p>
    <w:p w14:paraId="3952643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A2DE2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采</w:t>
      </w:r>
    </w:p>
    <w:p w14:paraId="3F5A1DF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91EE9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购</w:t>
      </w:r>
    </w:p>
    <w:p w14:paraId="4F81663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w:t>
      </w:r>
      <w:r>
        <w:rPr>
          <w:rFonts w:hint="eastAsia" w:ascii="仿宋_GB2312" w:hAnsi="仿宋_GB2312" w:eastAsia="仿宋_GB2312" w:cs="仿宋_GB2312"/>
          <w:b w:val="0"/>
          <w:bCs w:val="0"/>
          <w:color w:val="auto"/>
          <w:spacing w:val="-9"/>
          <w:sz w:val="28"/>
          <w:szCs w:val="28"/>
          <w:lang w:eastAsia="zh-CN"/>
        </w:rPr>
        <w:t>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四</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竞议价须知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竞议价</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南江县人民医院熏蒸治疗仪院内采购项目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竞议价文件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NYCG-26009-ZB</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南江县人民医院熏蒸治疗仪院内采购项目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熏蒸治疗仪</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22000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44000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44000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b w:val="0"/>
          <w:bCs w:val="0"/>
          <w:color w:val="auto"/>
          <w:spacing w:val="-6"/>
          <w:sz w:val="28"/>
          <w:szCs w:val="28"/>
          <w:lang w:val="en-US" w:eastAsia="zh-CN"/>
        </w:rPr>
        <w:t>院内</w:t>
      </w:r>
      <w:r>
        <w:rPr>
          <w:rFonts w:hint="eastAsia" w:ascii="仿宋" w:hAnsi="仿宋" w:eastAsia="仿宋" w:cs="仿宋"/>
          <w:b w:val="0"/>
          <w:bCs w:val="0"/>
          <w:color w:val="auto"/>
          <w:spacing w:val="6"/>
          <w:sz w:val="28"/>
          <w:szCs w:val="28"/>
          <w:lang w:val="en-US" w:eastAsia="zh-CN"/>
        </w:rPr>
        <w:t>竞议价</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36958CA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（1）投标产品为医疗器械的，投标产品须符合《医疗器械注册管理办法》要求并提供齐全有效的中华人民共和国医疗器械注册证或备案凭证复印件。</w:t>
      </w:r>
    </w:p>
    <w:p w14:paraId="3E8E1E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（2）若供应商为投标产品生产厂家的，提供有效的《医疗器械生产许可证》或生产备案凭证；</w:t>
      </w:r>
    </w:p>
    <w:p w14:paraId="7A98795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（3）若供应商不是投标产品生产厂家的，则提供有效的《医疗器械经营许可证》或经营备案凭证复印件；</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（4）提供竞议价承诺函。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469B47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定时功能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99min任意可调，连续工作时间≥8h</w:t>
      </w:r>
      <w:r>
        <w:rPr>
          <w:rFonts w:hint="eastAsia" w:ascii="仿宋_GB2312" w:hAnsi="仿宋_GB2312" w:eastAsia="仿宋_GB2312" w:cs="仿宋_GB2312"/>
          <w:sz w:val="28"/>
          <w:szCs w:val="28"/>
          <w:lang w:eastAsia="zh-CN"/>
        </w:rPr>
        <w:t>。</w:t>
      </w:r>
    </w:p>
    <w:p w14:paraId="719958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温度显示范围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0℃-150℃，显示精度</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p>
    <w:p w14:paraId="208BC6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压力调节范围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20-35KPa</w:t>
      </w:r>
      <w:r>
        <w:rPr>
          <w:rFonts w:hint="eastAsia" w:ascii="仿宋_GB2312" w:hAnsi="仿宋_GB2312" w:eastAsia="仿宋_GB2312" w:cs="仿宋_GB2312"/>
          <w:sz w:val="28"/>
          <w:szCs w:val="28"/>
          <w:lang w:eastAsia="zh-CN"/>
        </w:rPr>
        <w:t>。</w:t>
      </w:r>
    </w:p>
    <w:p w14:paraId="274712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单个熏蒸锅容积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≥6L</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总容量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12L</w:t>
      </w:r>
      <w:r>
        <w:rPr>
          <w:rFonts w:hint="eastAsia" w:ascii="仿宋_GB2312" w:hAnsi="仿宋_GB2312" w:eastAsia="仿宋_GB2312" w:cs="仿宋_GB2312"/>
          <w:sz w:val="28"/>
          <w:szCs w:val="28"/>
          <w:lang w:eastAsia="zh-CN"/>
        </w:rPr>
        <w:t>。</w:t>
      </w:r>
    </w:p>
    <w:p w14:paraId="07A9C9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采用液晶屏显示仪器的工作参数</w:t>
      </w:r>
      <w:r>
        <w:rPr>
          <w:rFonts w:hint="eastAsia" w:ascii="仿宋_GB2312" w:hAnsi="仿宋_GB2312" w:eastAsia="仿宋_GB2312" w:cs="仿宋_GB2312"/>
          <w:sz w:val="28"/>
          <w:szCs w:val="28"/>
          <w:lang w:eastAsia="zh-CN"/>
        </w:rPr>
        <w:t>。</w:t>
      </w:r>
    </w:p>
    <w:p w14:paraId="049E1A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双路输出蒸汽，熏蒸容器具有</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5重安全防护装置</w:t>
      </w:r>
      <w:r>
        <w:rPr>
          <w:rFonts w:hint="eastAsia" w:ascii="仿宋_GB2312" w:hAnsi="仿宋_GB2312" w:eastAsia="仿宋_GB2312" w:cs="仿宋_GB2312"/>
          <w:sz w:val="28"/>
          <w:szCs w:val="28"/>
          <w:lang w:eastAsia="zh-CN"/>
        </w:rPr>
        <w:t>。</w:t>
      </w:r>
    </w:p>
    <w:p w14:paraId="0901A9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具有超温、超压、缺水保护并具有声响提示，多重保护措施，使仪器工作过程更加安全。</w:t>
      </w:r>
    </w:p>
    <w:p w14:paraId="1B998C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熏蒸容器内设置具有多节可拆卸的过滤蒸汽输出装置，防止药渣进入，堵塞蒸汽管道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蒸汽输出装置可拆卸，方便清洗药垢。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提供产品图片证明文件</w:t>
      </w:r>
      <w:r>
        <w:rPr>
          <w:rFonts w:hint="eastAsia" w:ascii="仿宋_GB2312" w:hAnsi="仿宋_GB2312" w:eastAsia="仿宋_GB2312" w:cs="仿宋_GB2312"/>
          <w:sz w:val="28"/>
          <w:szCs w:val="28"/>
          <w:lang w:eastAsia="zh-CN"/>
        </w:rPr>
        <w:t>）</w:t>
      </w:r>
    </w:p>
    <w:p w14:paraId="1E02F1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翻盖0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90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范围内任意悬停</w:t>
      </w:r>
      <w:r>
        <w:rPr>
          <w:rFonts w:hint="eastAsia" w:ascii="仿宋_GB2312" w:hAnsi="仿宋_GB2312" w:eastAsia="仿宋_GB2312" w:cs="仿宋_GB2312"/>
          <w:sz w:val="28"/>
          <w:szCs w:val="28"/>
          <w:lang w:eastAsia="zh-CN"/>
        </w:rPr>
        <w:t>。</w:t>
      </w:r>
    </w:p>
    <w:p w14:paraId="799977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熏蒸容器采用外置式一体成型加热器，有效防止药液对加热装置的腐蚀，延长使用寿命。</w:t>
      </w:r>
    </w:p>
    <w:p w14:paraId="6779DF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喷头配有安全隔离罩，使病人和喷嘴之间保持安全距离，防止烫伤。</w:t>
      </w:r>
    </w:p>
    <w:p w14:paraId="059926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配置自动、手动两种排废液方式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提供产品图片证明文件</w:t>
      </w:r>
      <w:r>
        <w:rPr>
          <w:rFonts w:hint="eastAsia" w:ascii="仿宋_GB2312" w:hAnsi="仿宋_GB2312" w:eastAsia="仿宋_GB2312" w:cs="仿宋_GB2312"/>
          <w:sz w:val="28"/>
          <w:szCs w:val="28"/>
          <w:lang w:eastAsia="zh-CN"/>
        </w:rPr>
        <w:t>）。</w:t>
      </w:r>
    </w:p>
    <w:p w14:paraId="7B457B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多角度治疗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三维万向旋转臂杆，360°旋转喷头</w:t>
      </w:r>
      <w:r>
        <w:rPr>
          <w:rFonts w:hint="eastAsia" w:ascii="仿宋_GB2312" w:hAnsi="仿宋_GB2312" w:eastAsia="仿宋_GB2312" w:cs="仿宋_GB2312"/>
          <w:sz w:val="28"/>
          <w:szCs w:val="28"/>
          <w:lang w:eastAsia="zh-CN"/>
        </w:rPr>
        <w:t>。</w:t>
      </w:r>
    </w:p>
    <w:p w14:paraId="423014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具有浓度检测功能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提供产品图片证明文件</w:t>
      </w:r>
      <w:r>
        <w:rPr>
          <w:rFonts w:hint="eastAsia" w:ascii="仿宋_GB2312" w:hAnsi="仿宋_GB2312" w:eastAsia="仿宋_GB2312" w:cs="仿宋_GB2312"/>
          <w:sz w:val="28"/>
          <w:szCs w:val="28"/>
          <w:lang w:eastAsia="zh-CN"/>
        </w:rPr>
        <w:t>）。</w:t>
      </w:r>
    </w:p>
    <w:p w14:paraId="11B981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熏蒸仪翻盖具有自动安全锁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提供产品图片证明文件</w:t>
      </w:r>
      <w:r>
        <w:rPr>
          <w:rFonts w:hint="eastAsia" w:ascii="仿宋_GB2312" w:hAnsi="仿宋_GB2312" w:eastAsia="仿宋_GB2312" w:cs="仿宋_GB2312"/>
          <w:sz w:val="28"/>
          <w:szCs w:val="28"/>
          <w:lang w:eastAsia="zh-CN"/>
        </w:rPr>
        <w:t>）。</w:t>
      </w:r>
    </w:p>
    <w:p w14:paraId="276575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配置清单：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453"/>
        <w:gridCol w:w="2265"/>
        <w:gridCol w:w="2266"/>
      </w:tblGrid>
      <w:tr w14:paraId="6DBC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33E004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3453" w:type="dxa"/>
            <w:vAlign w:val="center"/>
          </w:tcPr>
          <w:p w14:paraId="6B750F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名称</w:t>
            </w:r>
          </w:p>
        </w:tc>
        <w:tc>
          <w:tcPr>
            <w:tcW w:w="2265" w:type="dxa"/>
            <w:vAlign w:val="center"/>
          </w:tcPr>
          <w:p w14:paraId="2332C1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c>
          <w:tcPr>
            <w:tcW w:w="2266" w:type="dxa"/>
            <w:vAlign w:val="center"/>
          </w:tcPr>
          <w:p w14:paraId="5AC72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w:t>
            </w:r>
          </w:p>
        </w:tc>
      </w:tr>
      <w:tr w14:paraId="48C2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207047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453" w:type="dxa"/>
            <w:vAlign w:val="center"/>
          </w:tcPr>
          <w:p w14:paraId="2DC8E6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主机</w:t>
            </w:r>
          </w:p>
        </w:tc>
        <w:tc>
          <w:tcPr>
            <w:tcW w:w="2265" w:type="dxa"/>
            <w:vAlign w:val="center"/>
          </w:tcPr>
          <w:p w14:paraId="52FD6C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6" w:type="dxa"/>
            <w:vAlign w:val="center"/>
          </w:tcPr>
          <w:p w14:paraId="65134C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台</w:t>
            </w:r>
          </w:p>
        </w:tc>
      </w:tr>
      <w:tr w14:paraId="2D3D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7A40D5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453" w:type="dxa"/>
            <w:vAlign w:val="center"/>
          </w:tcPr>
          <w:p w14:paraId="6BF2C8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量水杯</w:t>
            </w:r>
          </w:p>
        </w:tc>
        <w:tc>
          <w:tcPr>
            <w:tcW w:w="2265" w:type="dxa"/>
            <w:vAlign w:val="center"/>
          </w:tcPr>
          <w:p w14:paraId="3E29B3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6" w:type="dxa"/>
            <w:vAlign w:val="center"/>
          </w:tcPr>
          <w:p w14:paraId="6A0E6F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个</w:t>
            </w:r>
          </w:p>
        </w:tc>
      </w:tr>
      <w:tr w14:paraId="7C79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77099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453" w:type="dxa"/>
            <w:vAlign w:val="center"/>
          </w:tcPr>
          <w:p w14:paraId="4B42D6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防回流安全隔离罩</w:t>
            </w:r>
          </w:p>
        </w:tc>
        <w:tc>
          <w:tcPr>
            <w:tcW w:w="2265" w:type="dxa"/>
            <w:vAlign w:val="center"/>
          </w:tcPr>
          <w:p w14:paraId="5C7FBA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266" w:type="dxa"/>
            <w:vAlign w:val="center"/>
          </w:tcPr>
          <w:p w14:paraId="50B32E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个</w:t>
            </w:r>
          </w:p>
        </w:tc>
      </w:tr>
      <w:tr w14:paraId="6158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0E9728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453" w:type="dxa"/>
            <w:vAlign w:val="center"/>
          </w:tcPr>
          <w:p w14:paraId="677CDF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清洁套装</w:t>
            </w:r>
          </w:p>
        </w:tc>
        <w:tc>
          <w:tcPr>
            <w:tcW w:w="2265" w:type="dxa"/>
            <w:vAlign w:val="center"/>
          </w:tcPr>
          <w:p w14:paraId="4E387A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6" w:type="dxa"/>
            <w:vAlign w:val="center"/>
          </w:tcPr>
          <w:p w14:paraId="6ACB3F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套</w:t>
            </w:r>
          </w:p>
        </w:tc>
      </w:tr>
      <w:tr w14:paraId="0355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0E5037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453" w:type="dxa"/>
            <w:vAlign w:val="center"/>
          </w:tcPr>
          <w:p w14:paraId="4FA31F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密封圈</w:t>
            </w:r>
          </w:p>
        </w:tc>
        <w:tc>
          <w:tcPr>
            <w:tcW w:w="2265" w:type="dxa"/>
            <w:vAlign w:val="center"/>
          </w:tcPr>
          <w:p w14:paraId="6ED5A0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266" w:type="dxa"/>
            <w:vAlign w:val="center"/>
          </w:tcPr>
          <w:p w14:paraId="5E9D56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个</w:t>
            </w:r>
          </w:p>
        </w:tc>
      </w:tr>
      <w:tr w14:paraId="4E16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2F5AD3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3453" w:type="dxa"/>
            <w:vAlign w:val="center"/>
          </w:tcPr>
          <w:p w14:paraId="6A1ADB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药袋</w:t>
            </w:r>
          </w:p>
        </w:tc>
        <w:tc>
          <w:tcPr>
            <w:tcW w:w="2265" w:type="dxa"/>
            <w:vAlign w:val="center"/>
          </w:tcPr>
          <w:p w14:paraId="70AFDB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266" w:type="dxa"/>
            <w:vAlign w:val="center"/>
          </w:tcPr>
          <w:p w14:paraId="1C7A32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包</w:t>
            </w:r>
          </w:p>
        </w:tc>
      </w:tr>
      <w:tr w14:paraId="39FB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40B265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3453" w:type="dxa"/>
            <w:vAlign w:val="center"/>
          </w:tcPr>
          <w:p w14:paraId="7F891C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电源线</w:t>
            </w:r>
          </w:p>
        </w:tc>
        <w:tc>
          <w:tcPr>
            <w:tcW w:w="2265" w:type="dxa"/>
            <w:vAlign w:val="center"/>
          </w:tcPr>
          <w:p w14:paraId="1C7829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6" w:type="dxa"/>
            <w:vAlign w:val="center"/>
          </w:tcPr>
          <w:p w14:paraId="1BE585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根</w:t>
            </w:r>
          </w:p>
        </w:tc>
      </w:tr>
      <w:tr w14:paraId="7DBC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3E62AA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3453" w:type="dxa"/>
            <w:vAlign w:val="center"/>
          </w:tcPr>
          <w:p w14:paraId="1BD6F1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其他原厂标配</w:t>
            </w:r>
          </w:p>
        </w:tc>
        <w:tc>
          <w:tcPr>
            <w:tcW w:w="2265" w:type="dxa"/>
            <w:vAlign w:val="center"/>
          </w:tcPr>
          <w:p w14:paraId="685A3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6" w:type="dxa"/>
            <w:vAlign w:val="center"/>
          </w:tcPr>
          <w:p w14:paraId="05465E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套</w:t>
            </w:r>
          </w:p>
        </w:tc>
      </w:tr>
    </w:tbl>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5.质保期：自最终验收合格之日起2年内（原厂保质期超过2年的以原厂保质期为准）为质保期，质保期内配件损坏由厂家免费更换；质保期外产品维修和软件升级终身免收人工服务费，仅收取零配件成本费。</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力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100A0068">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bookmarkStart w:id="2" w:name="_GoBack"/>
      <w:bookmarkEnd w:id="2"/>
      <w:r>
        <w:rPr>
          <w:rFonts w:hint="eastAsia" w:ascii="仿宋" w:hAnsi="仿宋" w:eastAsia="仿宋" w:cs="仿宋"/>
          <w:color w:val="auto"/>
          <w:sz w:val="28"/>
          <w:szCs w:val="28"/>
          <w:lang w:val="en-US" w:eastAsia="zh-CN"/>
        </w:rPr>
        <w:t>.供应商应保证提供的全部医疗设备的生产日期（以设备铭牌或出厂合格证载明的日期为准）至实际交付之日止，不得超过6个月（含）。如设备的生产日期超出前述期限，采购人有权拒绝接收该设备，并要求供应商在7个工作日内更换为符合要求的产品；逾期未更换或更换后仍不符合要求的，采购人有权解除该批次设备的采购合同。</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1.递交响应文件截止时间：2026年4月15日  15:00。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2.响应文件的递交：响应文件必须在递交响应文件截止时间前送达竞议价地点。逾期送达、密封和标注错误的响应文件，为无效响应文件，不予接收（本项目不接受邮寄的响应文件）。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3.响应文件开启时间：2026年4月15日  15:00。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4.竞议价地点：南江县人民医院第二办公区五楼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竞议价文件的规定和要求编制响应文件。供应商在成交后将成交项目的非主体、非关键性工作分包给他人完成的，应当在响应文件中载明或在竞议价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竞议价人名称：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注：此证明仅用于法定代表人亲自投标而非委托代理人竞议价。</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竞议价活动的合法代表，以我方名义全权处理该项目有关竞议价、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注：本授权书仅用于委托代理人竞议价而非法定代表人参加竞议价。</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三、竞议价承诺函（实质性要求）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我公司作为本次采购项目的供应商，根据竞议价文件要求，现郑重承诺如下：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竞议价文件中规定的实质性要求，如对竞议价文件有异议，已经在递交响应文件截止时间届满前依法进行维权救济，不存在对竞议价文件有异议的同时又参加竞议价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注：供应商应按竞议价文件第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1.我方全面研究了“XXXXXX”项目竞议价文件（项目编号：XXXX），决定参加贵单位组织的本项目竞议价采购。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2.我方自愿按照竞议价文件规定的各项要求向采购人提供所需服务，总报价为人民币XX万元（大写：XXXX）。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4.我方同意本竞议价文件依据《关于对政府采购领域严重违法失信主体开展联合惩戒的合作备忘录》（发改财金〔2018〕1614号）对我方可能存在的失信行为进行惩戒。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用于竞议价报价。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6.我方愿意提供贵单位可能另外要求的，与竞议价报价有关的文件资料，并保证我方已提供和将要提供的文件资料是真实、准确的。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7.本次竞议价，我方递交的响应文件有效期为采购文件规定之日起XX天。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72"/>
        <w:gridCol w:w="2189"/>
        <w:gridCol w:w="1619"/>
        <w:gridCol w:w="1692"/>
        <w:gridCol w:w="1231"/>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853"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472"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2189"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619"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692"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231"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53"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竞议价供应商印章。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w:t>
      </w:r>
      <w:r>
        <w:rPr>
          <w:rFonts w:hint="eastAsia" w:ascii="黑体" w:hAnsi="黑体" w:eastAsia="黑体" w:cs="黑体"/>
          <w:color w:val="auto"/>
          <w:spacing w:val="26"/>
          <w:sz w:val="32"/>
          <w:szCs w:val="32"/>
          <w:lang w:val="en-US" w:eastAsia="zh-CN"/>
        </w:rPr>
        <w:t>技术/</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注：供应商必须根据竞议价文件要求据实逐条填写，不得虚假响应，虚假响应的，其响应文件无效并按规定追究其相关责任。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五、提供产品的技术白皮书或彩页（使用说明书、标签图片、实物图片、产品的合格证明文件、第三方检验报告、进口产品报关资料等）以供比选（实质性要求）。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、竞议价文件提及或供应商认为需要提供的其他材料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lang w:val="en-US" w:eastAsia="zh-CN"/>
        </w:rPr>
        <w:t>医用设备</w:t>
      </w:r>
      <w:r>
        <w:rPr>
          <w:rFonts w:hint="eastAsia" w:ascii="方正小标宋简体" w:hAnsi="方正小标宋简体" w:eastAsia="方正小标宋简体" w:cs="方正小标宋简体"/>
          <w:color w:val="auto"/>
          <w:sz w:val="44"/>
          <w:szCs w:val="44"/>
        </w:rPr>
        <w:t>采购合同</w:t>
      </w:r>
    </w:p>
    <w:bookmarkEnd w:id="1"/>
    <w:p w14:paraId="41FD9DE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p>
    <w:p w14:paraId="6C34ADE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15A2152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val="en-US" w:eastAsia="zh-CN"/>
        </w:rPr>
        <w:t>采购项目（项目编号）的《竞议价文件》、乙方的《响应文件》及《成交通知书》，甲、乙双方同意签订本合同。详细技术说明及其他有关合同项目的特定信息由合同附件予以说明，合同附件及本项目的竞议价文件、响应文件、《成交通知书》等均为本合同不可分割的部分。双方同意共同遵守如下条款：</w:t>
      </w:r>
    </w:p>
    <w:p w14:paraId="59901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en-US" w:eastAsia="zh-CN" w:bidi="ar-SA"/>
        </w:rPr>
        <w:t>一、</w:t>
      </w:r>
      <w:r>
        <w:rPr>
          <w:rFonts w:hint="eastAsia" w:ascii="黑体" w:hAnsi="黑体" w:eastAsia="黑体" w:cs="黑体"/>
          <w:snapToGrid/>
          <w:kern w:val="2"/>
          <w:sz w:val="28"/>
          <w:szCs w:val="28"/>
          <w:lang w:val="en-US" w:eastAsia="zh-CN"/>
        </w:rPr>
        <w:t>合同标的</w:t>
      </w:r>
    </w:p>
    <w:tbl>
      <w:tblPr>
        <w:tblStyle w:val="9"/>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85"/>
        <w:gridCol w:w="2150"/>
        <w:gridCol w:w="1312"/>
        <w:gridCol w:w="1197"/>
        <w:gridCol w:w="1608"/>
        <w:gridCol w:w="1344"/>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序号</w:t>
            </w:r>
          </w:p>
        </w:tc>
        <w:tc>
          <w:tcPr>
            <w:tcW w:w="744" w:type="pct"/>
            <w:noWrap w:val="0"/>
            <w:vAlign w:val="center"/>
          </w:tcPr>
          <w:p w14:paraId="29474CF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产品名称</w:t>
            </w:r>
          </w:p>
        </w:tc>
        <w:tc>
          <w:tcPr>
            <w:tcW w:w="1078" w:type="pct"/>
            <w:noWrap w:val="0"/>
            <w:vAlign w:val="center"/>
          </w:tcPr>
          <w:p w14:paraId="4DBC0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eastAsia="zh-CN"/>
              </w:rPr>
              <w:t>品牌</w:t>
            </w:r>
            <w:r>
              <w:rPr>
                <w:rFonts w:hint="eastAsia" w:ascii="仿宋" w:hAnsi="仿宋" w:eastAsia="仿宋" w:cs="仿宋"/>
                <w:b/>
                <w:bCs/>
                <w:snapToGrid/>
                <w:color w:val="auto"/>
                <w:kern w:val="2"/>
                <w:sz w:val="28"/>
                <w:szCs w:val="28"/>
                <w:highlight w:val="none"/>
                <w:lang w:val="en-US" w:eastAsia="zh-CN"/>
              </w:rPr>
              <w:t>/生产厂家</w:t>
            </w:r>
          </w:p>
        </w:tc>
        <w:tc>
          <w:tcPr>
            <w:tcW w:w="658" w:type="pct"/>
            <w:noWrap w:val="0"/>
            <w:vAlign w:val="center"/>
          </w:tcPr>
          <w:p w14:paraId="0C528A8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规格型号</w:t>
            </w:r>
          </w:p>
        </w:tc>
        <w:tc>
          <w:tcPr>
            <w:tcW w:w="600" w:type="pct"/>
            <w:noWrap w:val="0"/>
            <w:vAlign w:val="center"/>
          </w:tcPr>
          <w:p w14:paraId="0865537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数量</w:t>
            </w:r>
          </w:p>
        </w:tc>
        <w:tc>
          <w:tcPr>
            <w:tcW w:w="806" w:type="pct"/>
            <w:noWrap w:val="0"/>
            <w:vAlign w:val="center"/>
          </w:tcPr>
          <w:p w14:paraId="03561C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单价（元）</w:t>
            </w:r>
          </w:p>
        </w:tc>
        <w:tc>
          <w:tcPr>
            <w:tcW w:w="674" w:type="pct"/>
            <w:noWrap w:val="0"/>
            <w:vAlign w:val="center"/>
          </w:tcPr>
          <w:p w14:paraId="06CBC7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1</w:t>
            </w:r>
          </w:p>
        </w:tc>
        <w:tc>
          <w:tcPr>
            <w:tcW w:w="744" w:type="pct"/>
            <w:noWrap w:val="0"/>
            <w:vAlign w:val="center"/>
          </w:tcPr>
          <w:p w14:paraId="37C29F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54401D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850C9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34BFBC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val="en-US" w:eastAsia="zh-CN"/>
              </w:rPr>
            </w:pPr>
          </w:p>
        </w:tc>
        <w:tc>
          <w:tcPr>
            <w:tcW w:w="806" w:type="pct"/>
            <w:noWrap w:val="0"/>
            <w:vAlign w:val="center"/>
          </w:tcPr>
          <w:p w14:paraId="7A52F57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3AA3271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val="0"/>
                <w:snapToGrid/>
                <w:color w:val="auto"/>
                <w:kern w:val="2"/>
                <w:sz w:val="28"/>
                <w:szCs w:val="28"/>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2</w:t>
            </w:r>
          </w:p>
        </w:tc>
        <w:tc>
          <w:tcPr>
            <w:tcW w:w="744" w:type="pct"/>
            <w:noWrap w:val="0"/>
            <w:vAlign w:val="center"/>
          </w:tcPr>
          <w:p w14:paraId="5A7732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4853B9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DAC2FF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794E670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30A7277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70565A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744" w:type="pct"/>
            <w:noWrap w:val="0"/>
            <w:vAlign w:val="center"/>
          </w:tcPr>
          <w:p w14:paraId="2F6196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0A0CA0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71D8C2A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1341966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7E829A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25C3D65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bl>
    <w:p w14:paraId="6C1A61D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（注：本合同价格为固定价格，包括但不限于：</w:t>
      </w:r>
      <w:r>
        <w:rPr>
          <w:rFonts w:hint="eastAsia" w:ascii="仿宋" w:hAnsi="仿宋" w:eastAsia="仿宋" w:cs="仿宋"/>
          <w:snapToGrid/>
          <w:kern w:val="2"/>
          <w:sz w:val="28"/>
          <w:szCs w:val="28"/>
          <w:u w:val="single"/>
          <w:shd w:val="clear" w:color="auto" w:fill="FFFFFF"/>
          <w:lang w:eastAsia="zh-CN"/>
        </w:rPr>
        <w:t>货款、材料、制造、人工、包装、</w:t>
      </w:r>
      <w:r>
        <w:rPr>
          <w:rFonts w:hint="eastAsia" w:ascii="仿宋" w:hAnsi="仿宋" w:eastAsia="仿宋" w:cs="仿宋"/>
          <w:snapToGrid/>
          <w:kern w:val="2"/>
          <w:sz w:val="28"/>
          <w:szCs w:val="28"/>
          <w:u w:val="single"/>
          <w:lang w:eastAsia="zh-CN"/>
        </w:rPr>
        <w:t>运输费、</w:t>
      </w:r>
      <w:r>
        <w:rPr>
          <w:rFonts w:hint="eastAsia" w:ascii="仿宋" w:hAnsi="仿宋" w:eastAsia="仿宋" w:cs="仿宋"/>
          <w:snapToGrid/>
          <w:kern w:val="2"/>
          <w:sz w:val="28"/>
          <w:szCs w:val="28"/>
          <w:u w:val="single"/>
          <w:shd w:val="clear" w:color="auto" w:fill="FFFFFF"/>
          <w:lang w:eastAsia="zh-CN"/>
        </w:rPr>
        <w:t>安装、调试、检测、维保费、</w:t>
      </w:r>
      <w:r>
        <w:rPr>
          <w:rFonts w:hint="eastAsia" w:ascii="仿宋" w:hAnsi="仿宋" w:eastAsia="仿宋" w:cs="仿宋"/>
          <w:snapToGrid/>
          <w:kern w:val="2"/>
          <w:sz w:val="28"/>
          <w:szCs w:val="28"/>
          <w:u w:val="single"/>
          <w:lang w:eastAsia="zh-CN"/>
        </w:rPr>
        <w:t>保险费、进院接口费、税费、</w:t>
      </w:r>
      <w:r>
        <w:rPr>
          <w:rFonts w:hint="eastAsia" w:ascii="仿宋" w:hAnsi="仿宋" w:eastAsia="仿宋" w:cs="仿宋"/>
          <w:snapToGrid/>
          <w:kern w:val="2"/>
          <w:sz w:val="28"/>
          <w:szCs w:val="28"/>
          <w:u w:val="single"/>
          <w:lang w:val="en-US" w:eastAsia="zh-CN"/>
        </w:rPr>
        <w:t>鉴定费以及律师费</w:t>
      </w:r>
      <w:r>
        <w:rPr>
          <w:rFonts w:hint="eastAsia" w:ascii="仿宋" w:hAnsi="仿宋" w:eastAsia="仿宋" w:cs="仿宋"/>
          <w:snapToGrid/>
          <w:kern w:val="2"/>
          <w:sz w:val="28"/>
          <w:szCs w:val="28"/>
          <w:u w:val="single"/>
          <w:lang w:eastAsia="zh-CN"/>
        </w:rPr>
        <w:t>等全部费用</w:t>
      </w:r>
      <w:r>
        <w:rPr>
          <w:rFonts w:hint="eastAsia" w:ascii="仿宋" w:hAnsi="仿宋" w:eastAsia="仿宋" w:cs="仿宋"/>
          <w:snapToGrid/>
          <w:kern w:val="2"/>
          <w:sz w:val="28"/>
          <w:szCs w:val="28"/>
          <w:lang w:eastAsia="zh-CN"/>
        </w:rPr>
        <w:t>。货币结算单位为人民币。本合同执行期间合同单价不变，甲方无须另向乙方支付本合同规定之外的其他任何费用。）</w:t>
      </w:r>
    </w:p>
    <w:p w14:paraId="1CF00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乙方应保证其拥有该设备涉及的包括软件在内的所有知识产权（软件须提供正版标识），如有任何第三方就该设备所涉知识产权主张权利，乙方对此承担全部法律责任。</w:t>
      </w:r>
    </w:p>
    <w:p w14:paraId="0F4A2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三、交货时间和地点</w:t>
      </w:r>
    </w:p>
    <w:p w14:paraId="2681A6C1">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合同签订生效后，乙方在</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日内送货至甲方指定地点并完成安装，运费及货运保险费等相关所有费用由乙方承担。验收合格前货物的所有风险由乙方承担。</w:t>
      </w:r>
    </w:p>
    <w:p w14:paraId="4769ED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四、货物安装及验收</w:t>
      </w:r>
    </w:p>
    <w:p w14:paraId="665E4C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color w:val="auto"/>
          <w:kern w:val="2"/>
          <w:sz w:val="28"/>
          <w:szCs w:val="28"/>
          <w:highlight w:val="none"/>
          <w:lang w:eastAsia="zh-CN"/>
        </w:rPr>
        <w:t>项目安装调试完毕后，</w:t>
      </w:r>
      <w:r>
        <w:rPr>
          <w:rFonts w:hint="eastAsia" w:ascii="仿宋" w:hAnsi="仿宋" w:eastAsia="仿宋" w:cs="仿宋"/>
          <w:snapToGrid/>
          <w:color w:val="auto"/>
          <w:kern w:val="2"/>
          <w:sz w:val="28"/>
          <w:szCs w:val="28"/>
          <w:highlight w:val="none"/>
          <w:lang w:val="en-US" w:eastAsia="zh-CN"/>
        </w:rPr>
        <w:t>乙方书面提出</w:t>
      </w:r>
      <w:r>
        <w:rPr>
          <w:rFonts w:hint="eastAsia" w:ascii="仿宋" w:hAnsi="仿宋" w:eastAsia="仿宋" w:cs="仿宋"/>
          <w:snapToGrid/>
          <w:color w:val="auto"/>
          <w:kern w:val="2"/>
          <w:sz w:val="28"/>
          <w:szCs w:val="28"/>
          <w:highlight w:val="none"/>
          <w:lang w:eastAsia="zh-CN"/>
        </w:rPr>
        <w:t>初步验收</w:t>
      </w:r>
      <w:r>
        <w:rPr>
          <w:rFonts w:hint="eastAsia" w:ascii="仿宋" w:hAnsi="仿宋" w:eastAsia="仿宋" w:cs="仿宋"/>
          <w:snapToGrid/>
          <w:color w:val="auto"/>
          <w:kern w:val="2"/>
          <w:sz w:val="28"/>
          <w:szCs w:val="28"/>
          <w:highlight w:val="none"/>
          <w:lang w:val="en-US" w:eastAsia="zh-CN"/>
        </w:rPr>
        <w:t>申请，甲方在</w:t>
      </w:r>
      <w:r>
        <w:rPr>
          <w:rFonts w:hint="eastAsia" w:ascii="仿宋" w:hAnsi="仿宋" w:eastAsia="仿宋" w:cs="仿宋"/>
          <w:snapToGrid/>
          <w:color w:val="auto"/>
          <w:kern w:val="2"/>
          <w:sz w:val="28"/>
          <w:szCs w:val="28"/>
          <w:highlight w:val="none"/>
          <w:u w:val="single"/>
          <w:lang w:val="en-US" w:eastAsia="zh-CN"/>
        </w:rPr>
        <w:t>10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val="en-US" w:eastAsia="zh-CN"/>
        </w:rPr>
        <w:t>内组织初步验收</w:t>
      </w:r>
      <w:r>
        <w:rPr>
          <w:rFonts w:hint="eastAsia" w:ascii="仿宋" w:hAnsi="仿宋" w:eastAsia="仿宋" w:cs="仿宋"/>
          <w:snapToGrid/>
          <w:color w:val="auto"/>
          <w:kern w:val="2"/>
          <w:sz w:val="28"/>
          <w:szCs w:val="28"/>
          <w:highlight w:val="none"/>
          <w:lang w:eastAsia="zh-CN"/>
        </w:rPr>
        <w:t>。初步验收合格后，进入</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eastAsia="zh-CN"/>
        </w:rPr>
        <w:t>试用期；试用期间发生重大质量问题，修复后试用相应顺延；试用期结束后</w:t>
      </w:r>
      <w:r>
        <w:rPr>
          <w:rFonts w:hint="eastAsia" w:ascii="仿宋" w:hAnsi="仿宋" w:eastAsia="仿宋" w:cs="仿宋"/>
          <w:snapToGrid/>
          <w:color w:val="auto"/>
          <w:kern w:val="2"/>
          <w:sz w:val="28"/>
          <w:szCs w:val="28"/>
          <w:highlight w:val="none"/>
          <w:lang w:val="en-US" w:eastAsia="zh-CN"/>
        </w:rPr>
        <w:t>乙方书面提出验收申请，甲方在</w:t>
      </w:r>
      <w:r>
        <w:rPr>
          <w:rFonts w:hint="eastAsia" w:ascii="仿宋" w:hAnsi="仿宋" w:eastAsia="仿宋" w:cs="仿宋"/>
          <w:snapToGrid/>
          <w:color w:val="auto"/>
          <w:kern w:val="2"/>
          <w:sz w:val="28"/>
          <w:szCs w:val="28"/>
          <w:highlight w:val="none"/>
          <w:u w:val="single"/>
          <w:lang w:val="en-US" w:eastAsia="zh-CN"/>
        </w:rPr>
        <w:t>7</w:t>
      </w:r>
      <w:r>
        <w:rPr>
          <w:rFonts w:hint="eastAsia" w:ascii="仿宋" w:hAnsi="仿宋" w:eastAsia="仿宋" w:cs="仿宋"/>
          <w:snapToGrid/>
          <w:color w:val="auto"/>
          <w:kern w:val="2"/>
          <w:sz w:val="28"/>
          <w:szCs w:val="28"/>
          <w:highlight w:val="none"/>
          <w:lang w:val="en-US" w:eastAsia="zh-CN"/>
        </w:rPr>
        <w:t>个工作</w:t>
      </w:r>
      <w:r>
        <w:rPr>
          <w:rFonts w:hint="eastAsia" w:ascii="仿宋" w:hAnsi="仿宋" w:eastAsia="仿宋" w:cs="仿宋"/>
          <w:snapToGrid/>
          <w:color w:val="auto"/>
          <w:kern w:val="2"/>
          <w:sz w:val="28"/>
          <w:szCs w:val="28"/>
          <w:highlight w:val="none"/>
          <w:lang w:eastAsia="zh-CN"/>
        </w:rPr>
        <w:t>日内完成最终验收</w:t>
      </w:r>
      <w:r>
        <w:rPr>
          <w:rFonts w:hint="eastAsia" w:ascii="仿宋" w:hAnsi="仿宋" w:eastAsia="仿宋" w:cs="仿宋"/>
          <w:snapToGrid/>
          <w:kern w:val="2"/>
          <w:sz w:val="28"/>
          <w:szCs w:val="28"/>
          <w:lang w:eastAsia="zh-CN"/>
        </w:rPr>
        <w:t>。</w:t>
      </w:r>
    </w:p>
    <w:p w14:paraId="184224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验收标准：按国家有关规定以及甲方竞议价文件的质量要求和技术指标、乙方的响应文件及承诺与本合同约定标准进行验收；甲乙双方如对质量要求和技术指标的约定标准有相互抵触或异议的事项，由甲方在竞议价文件与响应文件中按质量要求和技术指标比较优胜的原则确定该项的约定标准进行验收；</w:t>
      </w:r>
    </w:p>
    <w:p w14:paraId="2B121F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产品</w:t>
      </w:r>
      <w:r>
        <w:rPr>
          <w:rFonts w:hint="eastAsia" w:ascii="仿宋" w:hAnsi="仿宋" w:eastAsia="仿宋" w:cs="仿宋"/>
          <w:snapToGrid/>
          <w:kern w:val="2"/>
          <w:sz w:val="28"/>
          <w:szCs w:val="28"/>
          <w:lang w:val="en-US" w:eastAsia="zh-CN"/>
        </w:rPr>
        <w:t>需</w:t>
      </w:r>
      <w:r>
        <w:rPr>
          <w:rFonts w:hint="eastAsia" w:ascii="仿宋" w:hAnsi="仿宋" w:eastAsia="仿宋" w:cs="仿宋"/>
          <w:snapToGrid/>
          <w:kern w:val="2"/>
          <w:sz w:val="28"/>
          <w:szCs w:val="28"/>
          <w:lang w:eastAsia="zh-CN"/>
        </w:rPr>
        <w:t>满足下列内容：</w:t>
      </w:r>
    </w:p>
    <w:p w14:paraId="671DA8E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（1）本合同及《配置清单》中约定的所有部件之规格及数目。</w:t>
      </w:r>
    </w:p>
    <w:p w14:paraId="65628FD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（2）招标文件中注明的所有技术参数。</w:t>
      </w:r>
    </w:p>
    <w:p w14:paraId="487FDCD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（3）产品使用说明、证明产品质量的所有书面文件如</w:t>
      </w:r>
      <w:r>
        <w:rPr>
          <w:rFonts w:hint="eastAsia" w:ascii="仿宋" w:hAnsi="仿宋" w:eastAsia="仿宋" w:cs="仿宋"/>
          <w:snapToGrid/>
          <w:kern w:val="2"/>
          <w:sz w:val="28"/>
          <w:szCs w:val="28"/>
          <w:u w:val="none"/>
          <w:lang w:eastAsia="zh-CN"/>
        </w:rPr>
        <w:t>质量检验合格证、装箱单、产品安装使用说明书、质保单等，</w:t>
      </w:r>
      <w:r>
        <w:rPr>
          <w:rFonts w:hint="eastAsia" w:ascii="仿宋" w:hAnsi="仿宋" w:eastAsia="仿宋" w:cs="仿宋"/>
          <w:snapToGrid/>
          <w:kern w:val="2"/>
          <w:sz w:val="28"/>
          <w:szCs w:val="28"/>
          <w:lang w:eastAsia="zh-CN"/>
        </w:rPr>
        <w:t>进口产品具备所有海关手续。</w:t>
      </w:r>
    </w:p>
    <w:p w14:paraId="0AFA25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验收时如发现所交付的产品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napToGrid/>
          <w:kern w:val="2"/>
          <w:sz w:val="28"/>
          <w:szCs w:val="28"/>
          <w:lang w:eastAsia="zh-CN"/>
        </w:rPr>
        <w:t>乙方应按照本合同第四条约定的期限提供符合上述要求的设备。否则，甲方有权解除合同，并有权按照本合同第十一条要求乙方支付违约金。如甲方已支付货款的，乙方</w:t>
      </w:r>
      <w:r>
        <w:rPr>
          <w:rFonts w:hint="eastAsia" w:ascii="仿宋" w:hAnsi="仿宋" w:eastAsia="仿宋" w:cs="仿宋"/>
          <w:snapToGrid/>
          <w:kern w:val="2"/>
          <w:sz w:val="28"/>
          <w:szCs w:val="28"/>
          <w:lang w:val="en-US" w:eastAsia="zh-CN"/>
        </w:rPr>
        <w:t>除支付违约金外还</w:t>
      </w:r>
      <w:r>
        <w:rPr>
          <w:rFonts w:hint="eastAsia" w:ascii="仿宋" w:hAnsi="仿宋" w:eastAsia="仿宋" w:cs="仿宋"/>
          <w:snapToGrid/>
          <w:kern w:val="2"/>
          <w:sz w:val="28"/>
          <w:szCs w:val="28"/>
          <w:lang w:eastAsia="zh-CN"/>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.如质量验收合格，双方签署政府采购项目验收报告，验收不合格的，由成交供应商进行整改，如经成交供应商</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如具体产品经乙方</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w:t>
      </w:r>
      <w:r>
        <w:rPr>
          <w:rFonts w:hint="eastAsia" w:ascii="仿宋" w:hAnsi="仿宋" w:eastAsia="仿宋" w:cs="仿宋"/>
          <w:snapToGrid/>
          <w:color w:val="auto"/>
          <w:kern w:val="2"/>
          <w:sz w:val="28"/>
          <w:szCs w:val="28"/>
          <w:highlight w:val="none"/>
          <w:lang w:val="en-US" w:eastAsia="zh-CN"/>
        </w:rPr>
        <w:t>调换或</w:t>
      </w:r>
      <w:r>
        <w:rPr>
          <w:rFonts w:hint="eastAsia" w:ascii="仿宋" w:hAnsi="仿宋" w:eastAsia="仿宋" w:cs="仿宋"/>
          <w:snapToGrid/>
          <w:color w:val="auto"/>
          <w:kern w:val="2"/>
          <w:sz w:val="28"/>
          <w:szCs w:val="28"/>
          <w:highlight w:val="none"/>
          <w:lang w:eastAsia="zh-CN"/>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8.乙方书面提出验收申请</w:t>
      </w:r>
      <w:r>
        <w:rPr>
          <w:rFonts w:hint="eastAsia" w:ascii="仿宋" w:hAnsi="仿宋" w:eastAsia="仿宋" w:cs="仿宋"/>
          <w:snapToGrid/>
          <w:color w:val="auto"/>
          <w:kern w:val="2"/>
          <w:sz w:val="28"/>
          <w:szCs w:val="28"/>
          <w:highlight w:val="none"/>
          <w:lang w:eastAsia="zh-CN"/>
        </w:rPr>
        <w:t>后</w:t>
      </w:r>
      <w:r>
        <w:rPr>
          <w:rFonts w:hint="eastAsia" w:ascii="仿宋" w:hAnsi="仿宋" w:eastAsia="仿宋" w:cs="仿宋"/>
          <w:snapToGrid/>
          <w:color w:val="auto"/>
          <w:kern w:val="2"/>
          <w:sz w:val="28"/>
          <w:szCs w:val="28"/>
          <w:highlight w:val="none"/>
          <w:u w:val="single"/>
          <w:lang w:val="en-US" w:eastAsia="zh-CN"/>
        </w:rPr>
        <w:t>15</w:t>
      </w:r>
      <w:r>
        <w:rPr>
          <w:rFonts w:hint="eastAsia" w:ascii="仿宋" w:hAnsi="仿宋" w:eastAsia="仿宋" w:cs="仿宋"/>
          <w:snapToGrid/>
          <w:color w:val="auto"/>
          <w:kern w:val="2"/>
          <w:sz w:val="28"/>
          <w:szCs w:val="28"/>
          <w:highlight w:val="none"/>
          <w:lang w:eastAsia="zh-CN"/>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kern w:val="2"/>
          <w:sz w:val="28"/>
          <w:szCs w:val="28"/>
          <w:lang w:eastAsia="zh-CN"/>
        </w:rPr>
        <w:t>该合同价款包括了附件《配置清单》中所列所有部件，乙方承诺所有配件均为该设备原装全新配件。</w:t>
      </w:r>
    </w:p>
    <w:p w14:paraId="5E831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五、人员培训</w:t>
      </w:r>
    </w:p>
    <w:p w14:paraId="4351E7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乙方应对甲方工作人员进行免费培训，保证受训人员能熟练操作，并对该设备进行日常维护。</w:t>
      </w:r>
    </w:p>
    <w:p w14:paraId="65A3FB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六、质量承诺：</w:t>
      </w:r>
    </w:p>
    <w:p w14:paraId="15A244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乙方应保证该货物原产地真实，是全新的、未使用过的，标识清楚、权属清楚，质量符合</w:t>
      </w:r>
      <w:r>
        <w:rPr>
          <w:rFonts w:hint="eastAsia" w:ascii="仿宋" w:hAnsi="仿宋" w:eastAsia="仿宋" w:cs="仿宋"/>
          <w:snapToGrid/>
          <w:kern w:val="2"/>
          <w:sz w:val="28"/>
          <w:szCs w:val="28"/>
          <w:lang w:val="en-US" w:eastAsia="zh-CN"/>
        </w:rPr>
        <w:t>或优于</w:t>
      </w:r>
      <w:r>
        <w:rPr>
          <w:rFonts w:hint="eastAsia" w:ascii="仿宋" w:hAnsi="仿宋" w:eastAsia="仿宋" w:cs="仿宋"/>
          <w:snapToGrid/>
          <w:kern w:val="2"/>
          <w:sz w:val="28"/>
          <w:szCs w:val="28"/>
          <w:lang w:eastAsia="zh-CN"/>
        </w:rPr>
        <w:t>国家（</w:t>
      </w:r>
      <w:r>
        <w:rPr>
          <w:rFonts w:hint="eastAsia" w:ascii="仿宋" w:hAnsi="仿宋" w:eastAsia="仿宋" w:cs="仿宋"/>
          <w:snapToGrid/>
          <w:kern w:val="2"/>
          <w:sz w:val="28"/>
          <w:szCs w:val="28"/>
          <w:lang w:val="en-US" w:eastAsia="zh-CN"/>
        </w:rPr>
        <w:t>行业</w:t>
      </w:r>
      <w:r>
        <w:rPr>
          <w:rFonts w:hint="eastAsia" w:ascii="仿宋" w:hAnsi="仿宋" w:eastAsia="仿宋" w:cs="仿宋"/>
          <w:snapToGrid/>
          <w:kern w:val="2"/>
          <w:sz w:val="28"/>
          <w:szCs w:val="28"/>
          <w:lang w:eastAsia="zh-CN"/>
        </w:rPr>
        <w:t>）标准（在无国家标准时，符合行业标准，相关标准不一致的，应以较之更为严格的为准），</w:t>
      </w:r>
      <w:r>
        <w:rPr>
          <w:rFonts w:hint="eastAsia" w:ascii="仿宋" w:hAnsi="仿宋" w:eastAsia="仿宋" w:cs="仿宋"/>
          <w:snapToGrid/>
          <w:color w:val="auto"/>
          <w:kern w:val="2"/>
          <w:sz w:val="28"/>
          <w:szCs w:val="28"/>
          <w:highlight w:val="none"/>
          <w:lang w:eastAsia="zh-CN"/>
        </w:rPr>
        <w:t>以及本项目</w:t>
      </w:r>
      <w:r>
        <w:rPr>
          <w:rFonts w:hint="eastAsia" w:ascii="仿宋" w:hAnsi="仿宋" w:eastAsia="仿宋" w:cs="仿宋"/>
          <w:snapToGrid/>
          <w:color w:val="auto"/>
          <w:kern w:val="2"/>
          <w:sz w:val="28"/>
          <w:szCs w:val="28"/>
          <w:highlight w:val="none"/>
          <w:lang w:val="en-US" w:eastAsia="zh-CN"/>
        </w:rPr>
        <w:t>竞议价文件</w:t>
      </w:r>
      <w:r>
        <w:rPr>
          <w:rFonts w:hint="eastAsia" w:ascii="仿宋" w:hAnsi="仿宋" w:eastAsia="仿宋" w:cs="仿宋"/>
          <w:snapToGrid/>
          <w:color w:val="auto"/>
          <w:kern w:val="2"/>
          <w:sz w:val="28"/>
          <w:szCs w:val="28"/>
          <w:highlight w:val="none"/>
          <w:lang w:eastAsia="zh-CN"/>
        </w:rPr>
        <w:t>的质量要求和技术指标与出厂标准，</w:t>
      </w:r>
      <w:r>
        <w:rPr>
          <w:rFonts w:hint="eastAsia" w:ascii="仿宋" w:hAnsi="仿宋" w:eastAsia="仿宋" w:cs="仿宋"/>
          <w:snapToGrid/>
          <w:kern w:val="2"/>
          <w:sz w:val="28"/>
          <w:szCs w:val="28"/>
          <w:lang w:eastAsia="zh-CN"/>
        </w:rPr>
        <w:t>不得以假充真，以次充好。</w:t>
      </w:r>
    </w:p>
    <w:p w14:paraId="03629E5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在保修期内乙方应保证设备因故障停用时间小于</w:t>
      </w:r>
      <w:r>
        <w:rPr>
          <w:rFonts w:hint="eastAsia" w:ascii="仿宋" w:hAnsi="仿宋" w:eastAsia="仿宋" w:cs="仿宋"/>
          <w:snapToGrid/>
          <w:kern w:val="2"/>
          <w:sz w:val="28"/>
          <w:szCs w:val="28"/>
          <w:u w:val="single"/>
          <w:lang w:eastAsia="zh-CN"/>
        </w:rPr>
        <w:t xml:space="preserve">  7  </w:t>
      </w:r>
      <w:r>
        <w:rPr>
          <w:rFonts w:hint="eastAsia" w:ascii="仿宋" w:hAnsi="仿宋" w:eastAsia="仿宋" w:cs="仿宋"/>
          <w:snapToGrid/>
          <w:kern w:val="2"/>
          <w:sz w:val="28"/>
          <w:szCs w:val="28"/>
          <w:lang w:eastAsia="zh-CN"/>
        </w:rPr>
        <w:t>个工作日。</w:t>
      </w:r>
    </w:p>
    <w:p w14:paraId="08728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（工作日是按照每年365天，每天24小时进行计算。）</w:t>
      </w:r>
    </w:p>
    <w:p w14:paraId="5EEB6C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3.</w:t>
      </w:r>
      <w:r>
        <w:rPr>
          <w:rFonts w:hint="eastAsia" w:ascii="仿宋" w:hAnsi="仿宋" w:eastAsia="仿宋" w:cs="仿宋"/>
          <w:snapToGrid/>
          <w:kern w:val="2"/>
          <w:sz w:val="28"/>
          <w:szCs w:val="28"/>
          <w:lang w:eastAsia="zh-CN"/>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4.</w:t>
      </w:r>
      <w:r>
        <w:rPr>
          <w:rFonts w:hint="eastAsia" w:ascii="仿宋" w:hAnsi="仿宋" w:eastAsia="仿宋" w:cs="仿宋"/>
          <w:snapToGrid/>
          <w:color w:val="auto"/>
          <w:kern w:val="2"/>
          <w:sz w:val="28"/>
          <w:szCs w:val="28"/>
          <w:highlight w:val="none"/>
          <w:lang w:eastAsia="zh-CN"/>
        </w:rPr>
        <w:t>产品质量出现问题，乙方应负责三包（包修、包换、包退），费用由乙方负担。</w:t>
      </w:r>
    </w:p>
    <w:p w14:paraId="4BA394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5.</w:t>
      </w:r>
      <w:r>
        <w:rPr>
          <w:rFonts w:hint="eastAsia" w:ascii="仿宋" w:hAnsi="仿宋" w:eastAsia="仿宋" w:cs="仿宋"/>
          <w:snapToGrid/>
          <w:kern w:val="2"/>
          <w:sz w:val="28"/>
          <w:szCs w:val="28"/>
          <w:lang w:eastAsia="zh-CN"/>
        </w:rPr>
        <w:t>乙方保证设备及其配件、附属设备均取得了国家卫生、医药行政部门的合法批文，若甲方在使用过程中由此受到行政处罚，则乙方对此承担全部责任并双倍赔偿甲方损失。</w:t>
      </w:r>
    </w:p>
    <w:p w14:paraId="327796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6.</w:t>
      </w:r>
      <w:r>
        <w:rPr>
          <w:rFonts w:hint="eastAsia" w:ascii="仿宋" w:hAnsi="仿宋" w:eastAsia="仿宋" w:cs="仿宋"/>
          <w:snapToGrid/>
          <w:kern w:val="2"/>
          <w:sz w:val="28"/>
          <w:szCs w:val="28"/>
          <w:lang w:eastAsia="zh-CN"/>
        </w:rPr>
        <w:t>供应商应保证提供的全部医疗设备的生产日期（以设备铭牌或出厂合格证载明的日期为准）至实际交付之日止，不得超过6个月（含）。如设备的生产日期超出前述期限，采购人有权拒绝接收该设备，并要求供应商在7个工作日内更换为符合要求的产品；逾期未更换或更换后仍不符合要求的，采购人有权解除该批次设备的采购合</w:t>
      </w:r>
    </w:p>
    <w:p w14:paraId="5E1C67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七、产品保修及维修：</w:t>
      </w:r>
    </w:p>
    <w:p w14:paraId="71B505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：项目验收合格后</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超过</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年的，以生产厂家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为准。除非因采购人使用不当，货物在</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内被发现存在任何质量问题，供应商应按照“三包”规定负责对货物进行维修、退换，退换的货物的</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应重新计算。</w:t>
      </w:r>
    </w:p>
    <w:p w14:paraId="3116B9A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质保期内，提供7*24小时售后服务，乙方</w:t>
      </w:r>
      <w:r>
        <w:rPr>
          <w:rFonts w:hint="eastAsia" w:ascii="仿宋" w:hAnsi="仿宋" w:eastAsia="仿宋" w:cs="仿宋"/>
          <w:snapToGrid/>
          <w:color w:val="auto"/>
          <w:kern w:val="2"/>
          <w:sz w:val="28"/>
          <w:szCs w:val="28"/>
          <w:highlight w:val="none"/>
          <w:lang w:val="en-US" w:eastAsia="zh-CN" w:bidi="ar"/>
        </w:rPr>
        <w:t>接到售后服务后30分钟内响应，</w:t>
      </w:r>
      <w:r>
        <w:rPr>
          <w:rFonts w:hint="eastAsia" w:ascii="仿宋" w:hAnsi="仿宋" w:eastAsia="仿宋" w:cs="仿宋"/>
          <w:snapToGrid/>
          <w:kern w:val="0"/>
          <w:sz w:val="28"/>
          <w:szCs w:val="28"/>
          <w:lang w:val="en-US" w:eastAsia="zh-CN" w:bidi="ar"/>
        </w:rPr>
        <w:t>24小时内完成维修或更换，并承担因此产生的修理调换的配件、运输及人工等费用。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质保期内，乙方提供每月定期巡回保养服务。</w:t>
      </w:r>
    </w:p>
    <w:p w14:paraId="5517BE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4.乙方</w:t>
      </w:r>
      <w:r>
        <w:rPr>
          <w:rFonts w:hint="eastAsia" w:ascii="仿宋" w:hAnsi="仿宋" w:eastAsia="仿宋" w:cs="仿宋"/>
          <w:snapToGrid/>
          <w:kern w:val="0"/>
          <w:sz w:val="28"/>
          <w:szCs w:val="28"/>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5.</w:t>
      </w:r>
      <w:r>
        <w:rPr>
          <w:rFonts w:hint="eastAsia" w:ascii="仿宋" w:hAnsi="仿宋" w:eastAsia="仿宋" w:cs="仿宋"/>
          <w:snapToGrid/>
          <w:kern w:val="0"/>
          <w:sz w:val="28"/>
          <w:szCs w:val="28"/>
          <w:lang w:val="en-US" w:eastAsia="zh-CN" w:bidi="ar"/>
        </w:rPr>
        <w:t>质保期内，乙方提供升级维修（包括上门服务）服务，对软件产品生命周期内所有的重大修复、关键安全性升级等技术支持服务。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0"/>
          <w:sz w:val="28"/>
          <w:szCs w:val="28"/>
          <w:lang w:val="en-US" w:eastAsia="zh-CN" w:bidi="ar"/>
        </w:rPr>
        <w:t>6.</w:t>
      </w:r>
      <w:r>
        <w:rPr>
          <w:rFonts w:hint="eastAsia" w:ascii="仿宋" w:hAnsi="仿宋" w:eastAsia="仿宋" w:cs="仿宋"/>
          <w:snapToGrid/>
          <w:color w:val="auto"/>
          <w:kern w:val="2"/>
          <w:sz w:val="28"/>
          <w:szCs w:val="28"/>
          <w:highlight w:val="none"/>
          <w:lang w:val="en-US" w:eastAsia="zh-CN" w:bidi="ar"/>
        </w:rPr>
        <w:t>如涉及更换配件的，则所换配件必须是原厂全新的，在质保期外提供终身维护</w:t>
      </w:r>
      <w:r>
        <w:rPr>
          <w:rFonts w:hint="eastAsia" w:ascii="仿宋" w:hAnsi="仿宋" w:eastAsia="仿宋" w:cs="仿宋"/>
          <w:snapToGrid/>
          <w:kern w:val="0"/>
          <w:sz w:val="28"/>
          <w:szCs w:val="28"/>
          <w:lang w:val="en-US" w:eastAsia="zh-CN" w:bidi="ar"/>
        </w:rPr>
        <w:t>或升级技术支持</w:t>
      </w:r>
      <w:r>
        <w:rPr>
          <w:rFonts w:hint="eastAsia" w:ascii="仿宋" w:hAnsi="仿宋" w:eastAsia="仿宋" w:cs="仿宋"/>
          <w:snapToGrid/>
          <w:color w:val="auto"/>
          <w:kern w:val="2"/>
          <w:sz w:val="28"/>
          <w:szCs w:val="28"/>
          <w:highlight w:val="none"/>
          <w:lang w:val="en-US" w:eastAsia="zh-CN" w:bidi="ar"/>
        </w:rPr>
        <w:t>，设备维修只收取成本费用</w:t>
      </w:r>
      <w:r>
        <w:rPr>
          <w:rFonts w:hint="eastAsia" w:ascii="仿宋" w:hAnsi="仿宋" w:eastAsia="仿宋" w:cs="仿宋"/>
          <w:snapToGrid/>
          <w:kern w:val="0"/>
          <w:sz w:val="28"/>
          <w:szCs w:val="28"/>
          <w:lang w:val="en-US" w:eastAsia="zh-CN" w:bidi="ar"/>
        </w:rPr>
        <w:t>。</w:t>
      </w:r>
    </w:p>
    <w:p w14:paraId="26C8FBDC">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0"/>
          <w:sz w:val="28"/>
          <w:szCs w:val="28"/>
          <w:lang w:val="en-US" w:eastAsia="zh-CN" w:bidi="ar"/>
        </w:rPr>
      </w:pPr>
      <w:r>
        <w:rPr>
          <w:rFonts w:hint="eastAsia" w:ascii="仿宋" w:hAnsi="仿宋" w:eastAsia="仿宋" w:cs="仿宋"/>
          <w:snapToGrid/>
          <w:kern w:val="2"/>
          <w:sz w:val="28"/>
          <w:szCs w:val="28"/>
          <w:lang w:val="en-US" w:eastAsia="zh-CN" w:bidi="ar"/>
        </w:rPr>
        <w:t>7.质保期</w:t>
      </w:r>
      <w:r>
        <w:rPr>
          <w:rFonts w:hint="eastAsia" w:ascii="仿宋" w:hAnsi="仿宋" w:eastAsia="仿宋" w:cs="仿宋"/>
          <w:snapToGrid/>
          <w:kern w:val="2"/>
          <w:sz w:val="28"/>
          <w:szCs w:val="28"/>
          <w:lang w:eastAsia="zh-CN" w:bidi="ar"/>
        </w:rPr>
        <w:t>内，</w:t>
      </w:r>
      <w:r>
        <w:rPr>
          <w:rFonts w:hint="eastAsia" w:ascii="仿宋" w:hAnsi="仿宋" w:eastAsia="仿宋" w:cs="仿宋"/>
          <w:snapToGrid/>
          <w:kern w:val="2"/>
          <w:sz w:val="28"/>
          <w:szCs w:val="28"/>
          <w:lang w:val="en-US" w:eastAsia="zh-CN" w:bidi="ar"/>
        </w:rPr>
        <w:t>设备</w:t>
      </w:r>
      <w:r>
        <w:rPr>
          <w:rFonts w:hint="eastAsia" w:ascii="仿宋" w:hAnsi="仿宋" w:eastAsia="仿宋" w:cs="仿宋"/>
          <w:snapToGrid/>
          <w:kern w:val="2"/>
          <w:sz w:val="28"/>
          <w:szCs w:val="28"/>
          <w:lang w:eastAsia="zh-CN" w:bidi="ar"/>
        </w:rPr>
        <w:t>单次维修时间超过</w:t>
      </w:r>
      <w:r>
        <w:rPr>
          <w:rFonts w:hint="eastAsia" w:ascii="仿宋" w:hAnsi="仿宋" w:eastAsia="仿宋" w:cs="仿宋"/>
          <w:snapToGrid/>
          <w:kern w:val="2"/>
          <w:sz w:val="28"/>
          <w:szCs w:val="28"/>
          <w:u w:val="none"/>
          <w:lang w:eastAsia="zh-CN" w:bidi="ar"/>
        </w:rPr>
        <w:t>15</w:t>
      </w:r>
      <w:r>
        <w:rPr>
          <w:rFonts w:hint="eastAsia" w:ascii="仿宋" w:hAnsi="仿宋" w:eastAsia="仿宋" w:cs="仿宋"/>
          <w:snapToGrid/>
          <w:kern w:val="2"/>
          <w:sz w:val="28"/>
          <w:szCs w:val="28"/>
          <w:lang w:eastAsia="zh-CN" w:bidi="ar"/>
        </w:rPr>
        <w:t>天或非因甲方使用不当导致的同一故障维修累计超过</w:t>
      </w:r>
      <w:r>
        <w:rPr>
          <w:rFonts w:hint="eastAsia" w:ascii="仿宋" w:hAnsi="仿宋" w:eastAsia="仿宋" w:cs="仿宋"/>
          <w:snapToGrid/>
          <w:kern w:val="2"/>
          <w:sz w:val="28"/>
          <w:szCs w:val="28"/>
          <w:lang w:val="en-US" w:eastAsia="zh-CN" w:bidi="ar"/>
        </w:rPr>
        <w:t>2</w:t>
      </w:r>
      <w:r>
        <w:rPr>
          <w:rFonts w:hint="eastAsia" w:ascii="仿宋" w:hAnsi="仿宋" w:eastAsia="仿宋" w:cs="仿宋"/>
          <w:snapToGrid/>
          <w:kern w:val="2"/>
          <w:sz w:val="28"/>
          <w:szCs w:val="28"/>
          <w:lang w:eastAsia="zh-CN" w:bidi="ar"/>
        </w:rPr>
        <w:t>次，乙方应无条件更换新设备，</w:t>
      </w:r>
      <w:r>
        <w:rPr>
          <w:rFonts w:hint="eastAsia" w:ascii="仿宋" w:hAnsi="仿宋" w:eastAsia="仿宋" w:cs="仿宋"/>
          <w:snapToGrid/>
          <w:kern w:val="0"/>
          <w:sz w:val="28"/>
          <w:szCs w:val="28"/>
          <w:lang w:val="en-US" w:eastAsia="zh-CN" w:bidi="ar"/>
        </w:rPr>
        <w:t>并对产品质量实行“三包”服务。</w:t>
      </w:r>
      <w:r>
        <w:rPr>
          <w:rFonts w:hint="eastAsia" w:ascii="仿宋" w:hAnsi="仿宋" w:eastAsia="仿宋" w:cs="仿宋"/>
          <w:snapToGrid/>
          <w:kern w:val="2"/>
          <w:sz w:val="28"/>
          <w:szCs w:val="28"/>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8.</w:t>
      </w:r>
      <w:r>
        <w:rPr>
          <w:rFonts w:hint="eastAsia" w:ascii="仿宋" w:hAnsi="仿宋" w:eastAsia="仿宋" w:cs="仿宋"/>
          <w:snapToGrid/>
          <w:kern w:val="2"/>
          <w:sz w:val="28"/>
          <w:szCs w:val="28"/>
          <w:lang w:eastAsia="zh-CN"/>
        </w:rPr>
        <w:t>若设备涉及计算机软件系统的，乙方有义务为甲方此后对设备完全的使用提供便利及支持，包括但不限于源代码、密码的提供，乙方不得拒绝或收取额外费用。</w:t>
      </w:r>
    </w:p>
    <w:p w14:paraId="5C57B4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八、产品软件升级特别约定</w:t>
      </w:r>
    </w:p>
    <w:p w14:paraId="3B7627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乙方承诺当设备有升级版本时，免费为甲方就设备软件提供升级服务。</w:t>
      </w:r>
    </w:p>
    <w:p w14:paraId="115E27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九、付款方式</w:t>
      </w:r>
    </w:p>
    <w:p w14:paraId="5930DD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val="zh-CN" w:eastAsia="zh-CN"/>
        </w:rPr>
        <w:t>项目验收合格后，达到付款条件起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zh-CN" w:eastAsia="zh-CN"/>
        </w:rPr>
        <w:t>9</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自验收合格之日起2</w:t>
      </w:r>
      <w:r>
        <w:rPr>
          <w:rFonts w:hint="eastAsia" w:ascii="仿宋" w:hAnsi="仿宋" w:eastAsia="仿宋" w:cs="仿宋"/>
          <w:snapToGrid/>
          <w:color w:val="auto"/>
          <w:kern w:val="2"/>
          <w:sz w:val="28"/>
          <w:szCs w:val="28"/>
          <w:highlight w:val="none"/>
          <w:lang w:val="zh-CN" w:eastAsia="zh-CN"/>
        </w:rPr>
        <w:t>年后，达到付款条件起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p>
    <w:p w14:paraId="7B9F708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2.以上全部金额，在甲方付款前，乙方应先按照合同总金额出具合法有效完整的完税发票及凭证资料。否则，甲方有权拒绝付款并且不因此承担违约责任。</w:t>
      </w:r>
    </w:p>
    <w:p w14:paraId="38FA3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（一）甲方违约责任</w:t>
      </w:r>
    </w:p>
    <w:p w14:paraId="573FD6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1.甲方无正当理由拒收产品的，甲方应偿付合同总价10%的违约金；</w:t>
      </w:r>
    </w:p>
    <w:p w14:paraId="5A3AA6B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2.甲方逾期支付合同价款的，除应及时付足合同价款外，应向乙方偿付欠款总额</w:t>
      </w:r>
      <w:r>
        <w:rPr>
          <w:rFonts w:hint="eastAsia" w:ascii="仿宋" w:hAnsi="仿宋" w:eastAsia="仿宋" w:cs="仿宋"/>
          <w:snapToGrid/>
          <w:color w:val="auto"/>
          <w:kern w:val="2"/>
          <w:sz w:val="28"/>
          <w:szCs w:val="28"/>
          <w:highlight w:val="none"/>
          <w:lang w:val="en-US" w:eastAsia="zh-CN"/>
        </w:rPr>
        <w:t>千分之一/天</w:t>
      </w:r>
      <w:r>
        <w:rPr>
          <w:rFonts w:hint="eastAsia" w:ascii="仿宋" w:hAnsi="仿宋" w:eastAsia="仿宋" w:cs="仿宋"/>
          <w:snapToGrid/>
          <w:color w:val="auto"/>
          <w:kern w:val="2"/>
          <w:sz w:val="28"/>
          <w:szCs w:val="28"/>
          <w:highlight w:val="none"/>
          <w:lang w:eastAsia="zh-CN"/>
        </w:rPr>
        <w:t>的违约金；逾期付款超过</w:t>
      </w:r>
      <w:r>
        <w:rPr>
          <w:rFonts w:hint="eastAsia" w:ascii="仿宋" w:hAnsi="仿宋" w:eastAsia="仿宋" w:cs="仿宋"/>
          <w:snapToGrid/>
          <w:color w:val="auto"/>
          <w:kern w:val="2"/>
          <w:sz w:val="28"/>
          <w:szCs w:val="28"/>
          <w:highlight w:val="none"/>
          <w:lang w:val="en-US" w:eastAsia="zh-CN"/>
        </w:rPr>
        <w:t>60</w:t>
      </w:r>
      <w:r>
        <w:rPr>
          <w:rFonts w:hint="eastAsia" w:ascii="仿宋" w:hAnsi="仿宋" w:eastAsia="仿宋" w:cs="仿宋"/>
          <w:snapToGrid/>
          <w:color w:val="auto"/>
          <w:kern w:val="2"/>
          <w:sz w:val="28"/>
          <w:szCs w:val="28"/>
          <w:highlight w:val="none"/>
          <w:lang w:eastAsia="zh-CN"/>
        </w:rPr>
        <w:t>日的，乙方有权终止合同；</w:t>
      </w:r>
    </w:p>
    <w:p w14:paraId="629AA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二</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乙方违约责任</w:t>
      </w:r>
    </w:p>
    <w:p w14:paraId="7F7C3370">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乙方未按照合同约定履行供货义务，每延迟一天扣合同总价的千分之五/天作为违约金支付给甲方。自甲方要求供货之日起，乙方逾期60日未安装供货或安装供货货物验收不合格的，甲方有权解除合同，并要求乙方按合同总价的10%支付违约金。若</w:t>
      </w:r>
      <w:r>
        <w:rPr>
          <w:rFonts w:hint="eastAsia" w:ascii="仿宋" w:hAnsi="仿宋" w:eastAsia="仿宋" w:cs="仿宋"/>
          <w:kern w:val="2"/>
          <w:sz w:val="28"/>
          <w:szCs w:val="28"/>
          <w:lang w:val="en-US" w:eastAsia="zh-CN" w:bidi="ar-SA"/>
        </w:rPr>
        <w:t>乙方支付的违约金不足以弥补甲方损失的，还应按甲方实际经济损失足额弥补。如乙方未能及时履行保修义务，每出现一次违约情况，应向甲方按照合同总价的5%支付违约金。甲方为保障医疗工作正常进行，有权另行寻找第三方进行维修，产生的相关费用及责任由乙方承担。</w:t>
      </w:r>
    </w:p>
    <w:p w14:paraId="2A7E5C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shd w:val="clear" w:color="auto" w:fill="FFFFFF"/>
          <w:lang w:eastAsia="zh-CN"/>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10%向甲方支付违约金并赔偿因此给甲方造成的一切损失。</w:t>
      </w:r>
    </w:p>
    <w:p w14:paraId="63E2935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乙方</w:t>
      </w:r>
      <w:r>
        <w:rPr>
          <w:rFonts w:hint="eastAsia" w:ascii="仿宋" w:hAnsi="仿宋" w:eastAsia="仿宋" w:cs="仿宋"/>
          <w:snapToGrid/>
          <w:kern w:val="2"/>
          <w:sz w:val="28"/>
          <w:szCs w:val="28"/>
          <w:lang w:val="en-US" w:eastAsia="zh-CN"/>
        </w:rPr>
        <w:t>设备</w:t>
      </w:r>
      <w:r>
        <w:rPr>
          <w:rFonts w:hint="eastAsia" w:ascii="仿宋" w:hAnsi="仿宋" w:eastAsia="仿宋" w:cs="仿宋"/>
          <w:snapToGrid/>
          <w:kern w:val="2"/>
          <w:sz w:val="28"/>
          <w:szCs w:val="28"/>
          <w:lang w:eastAsia="zh-CN"/>
        </w:rPr>
        <w:t>安装过程中，应当注意安全。因乙方</w:t>
      </w:r>
      <w:r>
        <w:rPr>
          <w:rFonts w:hint="eastAsia" w:ascii="仿宋" w:hAnsi="仿宋" w:eastAsia="仿宋" w:cs="仿宋"/>
          <w:snapToGrid/>
          <w:kern w:val="2"/>
          <w:sz w:val="28"/>
          <w:szCs w:val="28"/>
          <w:lang w:val="en-US" w:eastAsia="zh-CN"/>
        </w:rPr>
        <w:t>行为</w:t>
      </w:r>
      <w:r>
        <w:rPr>
          <w:rFonts w:hint="eastAsia" w:ascii="仿宋" w:hAnsi="仿宋" w:eastAsia="仿宋" w:cs="仿宋"/>
          <w:snapToGrid/>
          <w:kern w:val="2"/>
          <w:sz w:val="28"/>
          <w:szCs w:val="28"/>
          <w:lang w:eastAsia="zh-CN"/>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十一、争议解决</w:t>
      </w:r>
    </w:p>
    <w:p w14:paraId="2958A98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因履行本协议导致的纠纷由甲乙双方本着诚信、友好之原则积极协商，如协商无果，可向甲方所在地人民法院提起诉讼。</w:t>
      </w:r>
    </w:p>
    <w:p w14:paraId="480CD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十二、本协议一式伍份，甲方肆份，乙方壹份，甲乙双方签字及盖章后生效。</w:t>
      </w:r>
    </w:p>
    <w:p w14:paraId="081B13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十三、送达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7" w:type="default"/>
      <w:footerReference r:id="rId8"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A605C8-A015-4137-BD9B-A7B754FBDC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29E0E63-44A9-462E-B34C-35E45D89269D}"/>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BCD7A0D3-DFB3-4333-B96D-F77C587628AD}"/>
  </w:font>
  <w:font w:name="仿宋_GB2312">
    <w:panose1 w:val="02010609030101010101"/>
    <w:charset w:val="86"/>
    <w:family w:val="auto"/>
    <w:pitch w:val="default"/>
    <w:sig w:usb0="00000001" w:usb1="080E0000" w:usb2="00000000" w:usb3="00000000" w:csb0="00040000" w:csb1="00000000"/>
    <w:embedRegular r:id="rId4" w:fontKey="{B81D6CEB-8795-48AC-83A8-86D00013499B}"/>
  </w:font>
  <w:font w:name="仿宋">
    <w:panose1 w:val="02010609060101010101"/>
    <w:charset w:val="86"/>
    <w:family w:val="auto"/>
    <w:pitch w:val="default"/>
    <w:sig w:usb0="800002BF" w:usb1="38CF7CFA" w:usb2="00000016" w:usb3="00000000" w:csb0="00040001" w:csb1="00000000"/>
    <w:embedRegular r:id="rId5" w:fontKey="{3E1FF16B-29F9-4768-931F-594189E727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2F839EA"/>
    <w:rsid w:val="035F7E52"/>
    <w:rsid w:val="039D18E6"/>
    <w:rsid w:val="03E4200B"/>
    <w:rsid w:val="04F11B66"/>
    <w:rsid w:val="06EC048E"/>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116972AB"/>
    <w:rsid w:val="11AF0D5D"/>
    <w:rsid w:val="12505D75"/>
    <w:rsid w:val="13456A27"/>
    <w:rsid w:val="14103A0E"/>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A3267C"/>
    <w:rsid w:val="263712CE"/>
    <w:rsid w:val="26EA00EF"/>
    <w:rsid w:val="27082C6B"/>
    <w:rsid w:val="2841086C"/>
    <w:rsid w:val="28856217"/>
    <w:rsid w:val="294A30C6"/>
    <w:rsid w:val="29CE2B65"/>
    <w:rsid w:val="29D93476"/>
    <w:rsid w:val="2A64640A"/>
    <w:rsid w:val="2A6A0889"/>
    <w:rsid w:val="2A921E30"/>
    <w:rsid w:val="2C3317E7"/>
    <w:rsid w:val="2C7A7BA5"/>
    <w:rsid w:val="2CB5119F"/>
    <w:rsid w:val="2EDC0C65"/>
    <w:rsid w:val="2F4B7B98"/>
    <w:rsid w:val="2F9D4864"/>
    <w:rsid w:val="2FD5044D"/>
    <w:rsid w:val="31865A40"/>
    <w:rsid w:val="32607DFF"/>
    <w:rsid w:val="32CB171C"/>
    <w:rsid w:val="32EF663F"/>
    <w:rsid w:val="33435756"/>
    <w:rsid w:val="33725533"/>
    <w:rsid w:val="33EF69DC"/>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EFB02A8"/>
    <w:rsid w:val="3F012022"/>
    <w:rsid w:val="40397BD4"/>
    <w:rsid w:val="40A00055"/>
    <w:rsid w:val="41605323"/>
    <w:rsid w:val="41B84C62"/>
    <w:rsid w:val="421E066F"/>
    <w:rsid w:val="42556256"/>
    <w:rsid w:val="43291B47"/>
    <w:rsid w:val="444F046F"/>
    <w:rsid w:val="454964D0"/>
    <w:rsid w:val="45594965"/>
    <w:rsid w:val="45741238"/>
    <w:rsid w:val="47250A55"/>
    <w:rsid w:val="47347438"/>
    <w:rsid w:val="4B2C0426"/>
    <w:rsid w:val="4B460B4B"/>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7995095"/>
    <w:rsid w:val="57D36B09"/>
    <w:rsid w:val="58083E73"/>
    <w:rsid w:val="5872132A"/>
    <w:rsid w:val="588D4BFA"/>
    <w:rsid w:val="5906675A"/>
    <w:rsid w:val="596D45F7"/>
    <w:rsid w:val="59796F2C"/>
    <w:rsid w:val="5A5A0A17"/>
    <w:rsid w:val="5AB83A84"/>
    <w:rsid w:val="5C5B7E08"/>
    <w:rsid w:val="5C9221C8"/>
    <w:rsid w:val="5CF30F84"/>
    <w:rsid w:val="5D086F45"/>
    <w:rsid w:val="5D641D7E"/>
    <w:rsid w:val="5D9D7F84"/>
    <w:rsid w:val="5DA77BB9"/>
    <w:rsid w:val="5E473A9D"/>
    <w:rsid w:val="5E834B91"/>
    <w:rsid w:val="60575AEE"/>
    <w:rsid w:val="608508AD"/>
    <w:rsid w:val="60DA5BD2"/>
    <w:rsid w:val="61054F06"/>
    <w:rsid w:val="61654558"/>
    <w:rsid w:val="6205092E"/>
    <w:rsid w:val="621E2D67"/>
    <w:rsid w:val="626B5013"/>
    <w:rsid w:val="62FD060F"/>
    <w:rsid w:val="630E339F"/>
    <w:rsid w:val="645B3DFE"/>
    <w:rsid w:val="649B337D"/>
    <w:rsid w:val="655B7E2E"/>
    <w:rsid w:val="657F58CB"/>
    <w:rsid w:val="65A02A6F"/>
    <w:rsid w:val="65BB3441"/>
    <w:rsid w:val="65C506A9"/>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D5DC1"/>
    <w:rsid w:val="74CE5F27"/>
    <w:rsid w:val="750D2EF3"/>
    <w:rsid w:val="756819EF"/>
    <w:rsid w:val="75DD0393"/>
    <w:rsid w:val="766156EC"/>
    <w:rsid w:val="772E7A2D"/>
    <w:rsid w:val="781C344D"/>
    <w:rsid w:val="78E819E6"/>
    <w:rsid w:val="7A1D2B48"/>
    <w:rsid w:val="7A223EAD"/>
    <w:rsid w:val="7A87102F"/>
    <w:rsid w:val="7AAB0B58"/>
    <w:rsid w:val="7ABB4647"/>
    <w:rsid w:val="7ADF1F36"/>
    <w:rsid w:val="7B114DBF"/>
    <w:rsid w:val="7B276391"/>
    <w:rsid w:val="7BA15D4D"/>
    <w:rsid w:val="7BB5765B"/>
    <w:rsid w:val="7BF357A9"/>
    <w:rsid w:val="7DCB394B"/>
    <w:rsid w:val="7E301A00"/>
    <w:rsid w:val="7F12669B"/>
    <w:rsid w:val="7F14302A"/>
    <w:rsid w:val="7F1F2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f688e0a5-14aa-40f9-a787-4484650ad176</errorID>
      <errorWord>须进行加盖</errorWord>
      <group>L1_AI</group>
      <groupName>深度校对</groupName>
      <ability>L2_AI_Grammar</ability>
      <abilityName>语法纠错</abilityName>
      <candidateList>
        <item>须加盖</item>
      </candidateList>
      <explain/>
      <paraID>1C69F94F</paraID>
      <start>6</start>
      <end>9</end>
      <status>modified</status>
      <modifiedWord>须加盖</modifiedWord>
      <trackRevisions>false</trackRevisions>
    </reviewItem>
    <reviewItem>
      <errorID>cd89ec82-b929-4ba9-a3af-e75796618fb8</errorID>
      <errorWord>不可抗</errorWord>
      <group>L1_AI</group>
      <groupName>深度校对</groupName>
      <ability>L2_AI_Word</ability>
      <abilityName>字词纠错</abilityName>
      <candidateList>
        <item>不可抗力</item>
      </candidateList>
      <explain/>
      <paraID>3DBB2A4F</paraID>
      <start>91</start>
      <end>95</end>
      <status>modified</status>
      <modifiedWord>不可抗力</modifiedWord>
      <trackRevisions>false</trackRevisions>
    </reviewItem>
    <reviewItem>
      <errorID>f1c95160-639b-41f2-883b-dc1beabc5d8d</errorID>
      <errorWord>他人</errorWord>
      <group>L1_AI</group>
      <groupName>深度校对</groupName>
      <ability>L2_AI_Word</ability>
      <abilityName>字词纠错</abilityName>
      <candidateList>
        <item>给他人</item>
      </candidateList>
      <explain/>
      <paraID>4C457D9B</paraID>
      <start>48</start>
      <end>51</end>
      <status>modified</status>
      <modifiedWord>给他人</modifiedWord>
      <trackRevisions>false</trackRevisions>
    </reviewItem>
    <reviewItem>
      <errorID>a37f5f79-d11e-4574-b964-dbec00339418</errorID>
      <errorWord>谈判</errorWord>
      <group>L1_AI</group>
      <groupName>深度校对</groupName>
      <ability>L2_AI_Word</ability>
      <abilityName>字词纠错</abilityName>
      <candidateList>
        <item>在谈判</item>
      </candidateList>
      <explain/>
      <paraID>4C457D9B</paraID>
      <start>66</start>
      <end>69</end>
      <status>modified</status>
      <modifiedWord>在谈判</modifiedWord>
      <trackRevisions>false</trackRevisions>
    </reviewItem>
    <reviewItem>
      <errorID>01685056-993d-42b3-ae4f-a90741c3b7fb</errorID>
      <errorWord>授权</errorWord>
      <group>L1_AI</group>
      <groupName>深度校对</groupName>
      <ability>L2_AI_Word</ability>
      <abilityName>字词纠错</abilityName>
      <candidateList>
        <item>授权书</item>
      </candidateList>
      <explain/>
      <paraID>200086FA</paraID>
      <start>1</start>
      <end>4</end>
      <status>modified</status>
      <modifiedWord>授权书</modifiedWord>
      <trackRevisions>false</trackRevisions>
    </reviewItem>
    <reviewItem>
      <errorID>c06d8015-8b56-40a5-8b10-25658c733be5</errorID>
      <errorWord>”项目</errorWord>
      <group>L1_AI</group>
      <groupName>深度校对</groupName>
      <ability>L2_AI_Grammar</ability>
      <abilityName>语法纠错</abilityName>
      <candidateList>
        <item>XX项目”</item>
      </candidateList>
      <explain/>
      <paraID>200086FA</paraID>
      <start>42</start>
      <end>47</end>
      <status>modified</status>
      <modifiedWord>XX项目”</modifiedWord>
      <trackRevisions>false</trackRevisions>
    </reviewItem>
    <reviewItem>
      <errorID>6bbc05be-074d-4018-89da-85ddbeff482e</errorID>
      <errorWord>方</errorWord>
      <group>L1_Word</group>
      <groupName>字词问题</groupName>
      <ability>L2_Typo</ability>
      <abilityName>字词错误</abilityName>
      <candidateList>
        <item>方在</item>
      </candidateList>
      <explain/>
      <paraID>4E3B67CA</paraID>
      <start>26</start>
      <end>28</end>
      <status>modified</status>
      <modifiedWord>方在</modifiedWord>
      <trackRevisions>false</trackRevisions>
    </reviewItem>
    <reviewItem>
      <errorID>a1cb4426-3884-4635-8c36-5b564bcf40e8</errorID>
      <errorWord>方</errorWord>
      <group>L1_Word</group>
      <groupName>字词问题</groupName>
      <ability>L2_Typo</ability>
      <abilityName>字词错误</abilityName>
      <candidateList>
        <item>方在</item>
      </candidateList>
      <explain/>
      <paraID>4E3B67CA</paraID>
      <start>97</start>
      <end>99</end>
      <status>modified</status>
      <modifiedWord>方在</modifiedWord>
      <trackRevisions>false</trackRevisions>
    </reviewItem>
    <reviewItem>
      <errorID>b8fe02e1-c9ef-4792-be22-3457929411d0</errorID>
      <errorWord>，</errorWord>
      <group>L1_Word</group>
      <groupName>字词问题</groupName>
      <ability>L2_Typo</ability>
      <abilityName>字词错误</abilityName>
      <candidateList>
        <item>，在</item>
      </candidateList>
      <explain/>
      <paraID>2D730827</paraID>
      <start>24</start>
      <end>26</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5a48f75e-45ca-48b4-9e81-d0741860e178}">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9679</Words>
  <Characters>10030</Characters>
  <Lines>0</Lines>
  <Paragraphs>0</Paragraphs>
  <TotalTime>4</TotalTime>
  <ScaleCrop>false</ScaleCrop>
  <LinksUpToDate>false</LinksUpToDate>
  <CharactersWithSpaces>10083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Administrator</cp:lastModifiedBy>
  <cp:lastPrinted>2025-09-09T00:20:00Z</cp:lastPrinted>
  <dcterms:modified xsi:type="dcterms:W3CDTF">2026-04-09T10:21:56Z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