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4298F">
      <w:pPr>
        <w:keepNext w:val="0"/>
        <w:keepLines w:val="0"/>
        <w:pageBreakBefore w:val="0"/>
        <w:widowControl/>
        <w:kinsoku/>
        <w:wordWrap w:val="0"/>
        <w:overflowPunct/>
        <w:topLinePunct/>
        <w:autoSpaceDE/>
        <w:autoSpaceDN/>
        <w:bidi w:val="0"/>
        <w:adjustRightInd w:val="0"/>
        <w:snapToGrid w:val="0"/>
        <w:spacing w:before="104" w:line="240" w:lineRule="auto"/>
        <w:ind w:right="646"/>
        <w:jc w:val="center"/>
        <w:textAlignment w:val="baseline"/>
        <w:rPr>
          <w:rFonts w:hint="eastAsia" w:ascii="方正小标宋简体" w:hAnsi="方正小标宋简体" w:eastAsia="方正小标宋简体" w:cs="方正小标宋简体"/>
          <w:color w:val="auto"/>
          <w:sz w:val="44"/>
          <w:szCs w:val="44"/>
        </w:rPr>
      </w:pPr>
      <w:r>
        <w:rPr>
          <w:rFonts w:hint="default" w:ascii="方正小标宋简体" w:hAnsi="方正小标宋简体" w:eastAsia="方正小标宋简体" w:cs="方正小标宋简体"/>
          <w:color w:val="auto"/>
          <w:sz w:val="44"/>
          <w:szCs w:val="44"/>
          <w:lang w:val="en-US"/>
        </w:rPr>
        <w:t>南江县人民医院</w:t>
      </w:r>
      <w:r>
        <w:rPr>
          <w:rFonts w:hint="eastAsia" w:ascii="方正小标宋简体" w:hAnsi="方正小标宋简体" w:eastAsia="方正小标宋简体" w:cs="方正小标宋简体"/>
          <w:color w:val="auto"/>
          <w:sz w:val="44"/>
          <w:szCs w:val="44"/>
          <w:lang w:val="en-US" w:eastAsia="zh-CN"/>
        </w:rPr>
        <w:t>危险废物委托收集、贮存、处置服务</w:t>
      </w:r>
      <w:r>
        <w:rPr>
          <w:rFonts w:hint="eastAsia" w:ascii="方正小标宋简体" w:hAnsi="方正小标宋简体" w:eastAsia="方正小标宋简体" w:cs="方正小标宋简体"/>
          <w:color w:val="auto"/>
          <w:sz w:val="44"/>
          <w:szCs w:val="44"/>
        </w:rPr>
        <w:t>院内采购项目</w:t>
      </w:r>
    </w:p>
    <w:p w14:paraId="08EDF54B">
      <w:pPr>
        <w:pStyle w:val="5"/>
        <w:keepNext w:val="0"/>
        <w:keepLines w:val="0"/>
        <w:pageBreakBefore w:val="0"/>
        <w:widowControl/>
        <w:kinsoku/>
        <w:wordWrap w:val="0"/>
        <w:overflowPunct/>
        <w:topLinePunct/>
        <w:autoSpaceDE/>
        <w:autoSpaceDN/>
        <w:bidi w:val="0"/>
        <w:adjustRightInd w:val="0"/>
        <w:snapToGrid w:val="0"/>
        <w:spacing w:line="560" w:lineRule="exact"/>
        <w:ind w:right="0"/>
        <w:jc w:val="left"/>
        <w:textAlignment w:val="baseline"/>
        <w:rPr>
          <w:color w:val="auto"/>
        </w:rPr>
      </w:pPr>
      <w:r>
        <w:rPr>
          <w:rFonts w:hint="eastAsia" w:ascii="仿宋_GB2312" w:hAnsi="仿宋_GB2312" w:eastAsia="仿宋_GB2312" w:cs="仿宋_GB2312"/>
          <w:b w:val="0"/>
          <w:bCs w:val="0"/>
          <w:color w:val="auto"/>
          <w:spacing w:val="-13"/>
          <w:sz w:val="32"/>
          <w:szCs w:val="32"/>
        </w:rPr>
        <w:t>采购编号：</w:t>
      </w:r>
      <w:r>
        <w:rPr>
          <w:rFonts w:hint="eastAsia" w:ascii="仿宋_GB2312" w:hAnsi="仿宋_GB2312" w:eastAsia="仿宋_GB2312" w:cs="仿宋_GB2312"/>
          <w:b w:val="0"/>
          <w:bCs w:val="0"/>
          <w:color w:val="auto"/>
          <w:spacing w:val="-13"/>
          <w:sz w:val="32"/>
          <w:szCs w:val="32"/>
          <w:lang w:eastAsia="zh-CN"/>
        </w:rPr>
        <w:t>NYCG-26201-HQ</w:t>
      </w:r>
    </w:p>
    <w:p w14:paraId="170EF91D">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竞</w:t>
      </w:r>
    </w:p>
    <w:p w14:paraId="086739A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16C9745F">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争</w:t>
      </w:r>
    </w:p>
    <w:p w14:paraId="1B1202B3">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48330D4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性</w:t>
      </w:r>
    </w:p>
    <w:p w14:paraId="242203AD">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70F213F0">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谈</w:t>
      </w:r>
    </w:p>
    <w:p w14:paraId="5D08830E">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5620458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判</w:t>
      </w:r>
    </w:p>
    <w:p w14:paraId="04BE797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default" w:ascii="方正小标宋简体" w:hAnsi="方正小标宋简体" w:eastAsia="方正小标宋简体" w:cs="方正小标宋简体"/>
          <w:b w:val="0"/>
          <w:bCs w:val="0"/>
          <w:color w:val="auto"/>
          <w:sz w:val="52"/>
          <w:szCs w:val="52"/>
          <w:lang w:val="en-US" w:eastAsia="zh-CN"/>
        </w:rPr>
      </w:pPr>
    </w:p>
    <w:p w14:paraId="1369380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pacing w:val="37"/>
          <w:sz w:val="52"/>
          <w:szCs w:val="52"/>
          <w:lang w:val="en-US" w:eastAsia="zh-CN"/>
        </w:rPr>
      </w:pPr>
      <w:r>
        <w:rPr>
          <w:rFonts w:hint="eastAsia" w:ascii="方正小标宋简体" w:hAnsi="方正小标宋简体" w:eastAsia="方正小标宋简体" w:cs="方正小标宋简体"/>
          <w:b w:val="0"/>
          <w:bCs w:val="0"/>
          <w:color w:val="auto"/>
          <w:spacing w:val="37"/>
          <w:sz w:val="52"/>
          <w:szCs w:val="52"/>
          <w:lang w:val="en-US" w:eastAsia="zh-CN"/>
        </w:rPr>
        <w:t>文</w:t>
      </w:r>
    </w:p>
    <w:p w14:paraId="034FA886">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pacing w:val="37"/>
          <w:sz w:val="52"/>
          <w:szCs w:val="52"/>
          <w:lang w:val="en-US" w:eastAsia="zh-CN"/>
        </w:rPr>
      </w:pPr>
    </w:p>
    <w:p w14:paraId="3496518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default" w:ascii="黑体" w:hAnsi="黑体" w:eastAsia="黑体" w:cs="黑体"/>
          <w:b/>
          <w:bCs/>
          <w:color w:val="auto"/>
          <w:spacing w:val="37"/>
          <w:sz w:val="63"/>
          <w:szCs w:val="63"/>
          <w:lang w:val="en-US" w:eastAsia="zh-CN"/>
        </w:rPr>
      </w:pPr>
      <w:r>
        <w:rPr>
          <w:rFonts w:hint="eastAsia" w:ascii="方正小标宋简体" w:hAnsi="方正小标宋简体" w:eastAsia="方正小标宋简体" w:cs="方正小标宋简体"/>
          <w:b w:val="0"/>
          <w:bCs w:val="0"/>
          <w:color w:val="auto"/>
          <w:spacing w:val="37"/>
          <w:sz w:val="52"/>
          <w:szCs w:val="52"/>
          <w:lang w:val="en-US" w:eastAsia="zh-CN"/>
        </w:rPr>
        <w:t>件</w:t>
      </w:r>
    </w:p>
    <w:p w14:paraId="76E1CD62">
      <w:pPr>
        <w:pStyle w:val="5"/>
        <w:keepNext w:val="0"/>
        <w:keepLines w:val="0"/>
        <w:pageBreakBefore w:val="0"/>
        <w:widowControl/>
        <w:kinsoku/>
        <w:wordWrap w:val="0"/>
        <w:overflowPunct/>
        <w:topLinePunct/>
        <w:autoSpaceDE/>
        <w:autoSpaceDN/>
        <w:bidi w:val="0"/>
        <w:adjustRightInd w:val="0"/>
        <w:snapToGrid w:val="0"/>
        <w:spacing w:line="560" w:lineRule="exact"/>
        <w:ind w:right="0"/>
        <w:textAlignment w:val="baseline"/>
        <w:rPr>
          <w:color w:val="auto"/>
        </w:rPr>
      </w:pPr>
    </w:p>
    <w:p w14:paraId="04C566C1">
      <w:pPr>
        <w:pStyle w:val="5"/>
        <w:keepNext w:val="0"/>
        <w:keepLines w:val="0"/>
        <w:pageBreakBefore w:val="0"/>
        <w:widowControl/>
        <w:kinsoku/>
        <w:wordWrap w:val="0"/>
        <w:overflowPunct/>
        <w:topLinePunct/>
        <w:autoSpaceDE/>
        <w:autoSpaceDN/>
        <w:bidi w:val="0"/>
        <w:adjustRightInd w:val="0"/>
        <w:snapToGrid w:val="0"/>
        <w:spacing w:line="560" w:lineRule="exact"/>
        <w:ind w:right="0"/>
        <w:textAlignment w:val="baseline"/>
        <w:rPr>
          <w:color w:val="auto"/>
        </w:rPr>
      </w:pPr>
    </w:p>
    <w:p w14:paraId="4B5AC20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仿宋_GB2312" w:hAnsi="仿宋_GB2312" w:eastAsia="仿宋_GB2312" w:cs="仿宋_GB2312"/>
          <w:b w:val="0"/>
          <w:bCs w:val="0"/>
          <w:color w:val="auto"/>
          <w:spacing w:val="11"/>
          <w:sz w:val="28"/>
          <w:szCs w:val="28"/>
        </w:rPr>
      </w:pPr>
      <w:r>
        <w:rPr>
          <w:rFonts w:hint="eastAsia" w:ascii="仿宋_GB2312" w:hAnsi="仿宋_GB2312" w:eastAsia="仿宋_GB2312" w:cs="仿宋_GB2312"/>
          <w:b w:val="0"/>
          <w:bCs w:val="0"/>
          <w:color w:val="auto"/>
          <w:spacing w:val="13"/>
          <w:sz w:val="28"/>
          <w:szCs w:val="28"/>
        </w:rPr>
        <w:t>采购单位：</w:t>
      </w:r>
      <w:r>
        <w:rPr>
          <w:rFonts w:hint="eastAsia" w:ascii="仿宋_GB2312" w:hAnsi="仿宋_GB2312" w:eastAsia="仿宋_GB2312" w:cs="仿宋_GB2312"/>
          <w:b w:val="0"/>
          <w:bCs w:val="0"/>
          <w:color w:val="auto"/>
          <w:spacing w:val="13"/>
          <w:sz w:val="28"/>
          <w:szCs w:val="28"/>
          <w:lang w:val="en-US" w:eastAsia="zh-CN"/>
        </w:rPr>
        <w:t>南江县人民</w:t>
      </w:r>
      <w:r>
        <w:rPr>
          <w:rFonts w:hint="eastAsia" w:ascii="仿宋_GB2312" w:hAnsi="仿宋_GB2312" w:eastAsia="仿宋_GB2312" w:cs="仿宋_GB2312"/>
          <w:b w:val="0"/>
          <w:bCs w:val="0"/>
          <w:color w:val="auto"/>
          <w:spacing w:val="11"/>
          <w:sz w:val="28"/>
          <w:szCs w:val="28"/>
        </w:rPr>
        <w:t>医院</w:t>
      </w:r>
    </w:p>
    <w:p w14:paraId="779A4C76">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pacing w:val="-9"/>
          <w:sz w:val="28"/>
          <w:szCs w:val="28"/>
          <w:lang w:eastAsia="zh-CN"/>
        </w:rPr>
        <w:t>二O二六年</w:t>
      </w:r>
      <w:r>
        <w:rPr>
          <w:rFonts w:hint="eastAsia" w:ascii="仿宋_GB2312" w:hAnsi="仿宋_GB2312" w:eastAsia="仿宋_GB2312" w:cs="仿宋_GB2312"/>
          <w:b w:val="0"/>
          <w:bCs w:val="0"/>
          <w:color w:val="auto"/>
          <w:spacing w:val="-9"/>
          <w:sz w:val="24"/>
          <w:szCs w:val="24"/>
          <w:lang w:val="en-US" w:eastAsia="zh-CN"/>
        </w:rPr>
        <w:t>八</w:t>
      </w:r>
      <w:r>
        <w:rPr>
          <w:rFonts w:hint="eastAsia" w:ascii="仿宋_GB2312" w:hAnsi="仿宋_GB2312" w:eastAsia="仿宋_GB2312" w:cs="仿宋_GB2312"/>
          <w:b w:val="0"/>
          <w:bCs w:val="0"/>
          <w:color w:val="auto"/>
          <w:spacing w:val="-9"/>
          <w:sz w:val="28"/>
          <w:szCs w:val="28"/>
          <w:lang w:eastAsia="zh-CN"/>
        </w:rPr>
        <w:t>月</w:t>
      </w:r>
    </w:p>
    <w:p w14:paraId="0C6FB473">
      <w:pPr>
        <w:keepNext w:val="0"/>
        <w:keepLines w:val="0"/>
        <w:pageBreakBefore w:val="0"/>
        <w:widowControl/>
        <w:kinsoku/>
        <w:wordWrap w:val="0"/>
        <w:overflowPunct/>
        <w:topLinePunct/>
        <w:autoSpaceDE/>
        <w:autoSpaceDN/>
        <w:bidi w:val="0"/>
        <w:adjustRightInd w:val="0"/>
        <w:snapToGrid w:val="0"/>
        <w:spacing w:before="78" w:line="319" w:lineRule="auto"/>
        <w:ind w:left="3906" w:right="601" w:hanging="3340"/>
        <w:jc w:val="center"/>
        <w:rPr>
          <w:rFonts w:ascii="宋体" w:hAnsi="宋体" w:eastAsia="宋体" w:cs="宋体"/>
          <w:color w:val="auto"/>
          <w:sz w:val="24"/>
          <w:szCs w:val="24"/>
        </w:rPr>
        <w:sectPr>
          <w:footerReference r:id="rId5" w:type="default"/>
          <w:pgSz w:w="11910" w:h="16840"/>
          <w:pgMar w:top="2098" w:right="1474" w:bottom="1984" w:left="1587" w:header="0" w:footer="2498" w:gutter="0"/>
          <w:pgNumType w:fmt="decimal"/>
          <w:cols w:space="720" w:num="1"/>
        </w:sectPr>
      </w:pPr>
    </w:p>
    <w:p w14:paraId="23E0F7B2">
      <w:pPr>
        <w:keepNext w:val="0"/>
        <w:keepLines w:val="0"/>
        <w:pageBreakBefore w:val="0"/>
        <w:widowControl/>
        <w:kinsoku/>
        <w:wordWrap w:val="0"/>
        <w:overflowPunct/>
        <w:topLinePunct/>
        <w:autoSpaceDE/>
        <w:autoSpaceDN/>
        <w:bidi w:val="0"/>
        <w:adjustRightInd w:val="0"/>
        <w:snapToGrid w:val="0"/>
        <w:spacing w:line="440" w:lineRule="exact"/>
        <w:ind w:right="0"/>
        <w:jc w:val="center"/>
        <w:textAlignment w:val="baseline"/>
        <w:outlineLvl w:val="0"/>
        <w:rPr>
          <w:rFonts w:hint="default" w:ascii="仿宋_GB2312" w:hAnsi="仿宋_GB2312" w:eastAsia="方正小标宋简体" w:cs="仿宋_GB2312"/>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pacing w:val="17"/>
          <w:sz w:val="32"/>
          <w:szCs w:val="32"/>
        </w:rPr>
        <w:t>第一章</w:t>
      </w:r>
      <w:r>
        <w:rPr>
          <w:rFonts w:hint="eastAsia" w:ascii="方正小标宋简体" w:hAnsi="方正小标宋简体" w:eastAsia="方正小标宋简体" w:cs="方正小标宋简体"/>
          <w:b w:val="0"/>
          <w:bCs w:val="0"/>
          <w:color w:val="auto"/>
          <w:spacing w:val="17"/>
          <w:sz w:val="32"/>
          <w:szCs w:val="32"/>
          <w:lang w:val="en-US" w:eastAsia="zh-CN"/>
        </w:rPr>
        <w:t>谈判须知</w:t>
      </w:r>
    </w:p>
    <w:p w14:paraId="16F7CA76">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600" w:firstLineChars="200"/>
        <w:jc w:val="both"/>
        <w:textAlignment w:val="baseline"/>
        <w:rPr>
          <w:rFonts w:hint="eastAsia" w:ascii="仿宋_GB2312" w:hAnsi="仿宋_GB2312" w:eastAsia="仿宋_GB2312" w:cs="仿宋_GB2312"/>
          <w:color w:val="auto"/>
          <w:spacing w:val="10"/>
          <w:sz w:val="28"/>
          <w:szCs w:val="28"/>
          <w:lang w:val="en-US" w:eastAsia="zh-CN"/>
        </w:rPr>
      </w:pPr>
    </w:p>
    <w:p w14:paraId="52C7FD3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600" w:firstLineChars="200"/>
        <w:jc w:val="both"/>
        <w:textAlignment w:val="baseline"/>
        <w:rPr>
          <w:rFonts w:hint="eastAsia" w:ascii="仿宋" w:hAnsi="仿宋" w:eastAsia="仿宋" w:cs="仿宋"/>
          <w:color w:val="auto"/>
          <w:sz w:val="28"/>
          <w:szCs w:val="28"/>
        </w:rPr>
      </w:pPr>
      <w:r>
        <w:rPr>
          <w:rFonts w:hint="eastAsia" w:ascii="仿宋" w:hAnsi="仿宋" w:eastAsia="仿宋" w:cs="仿宋"/>
          <w:color w:val="auto"/>
          <w:spacing w:val="10"/>
          <w:sz w:val="28"/>
          <w:szCs w:val="28"/>
          <w:lang w:val="en-US" w:eastAsia="zh-CN"/>
        </w:rPr>
        <w:t>南江县人民</w:t>
      </w:r>
      <w:r>
        <w:rPr>
          <w:rFonts w:hint="eastAsia" w:ascii="仿宋" w:hAnsi="仿宋" w:eastAsia="仿宋" w:cs="仿宋"/>
          <w:color w:val="auto"/>
          <w:spacing w:val="9"/>
          <w:sz w:val="28"/>
          <w:szCs w:val="28"/>
        </w:rPr>
        <w:t>医院拟以</w:t>
      </w:r>
      <w:r>
        <w:rPr>
          <w:rFonts w:hint="eastAsia" w:ascii="仿宋" w:hAnsi="仿宋" w:eastAsia="仿宋" w:cs="仿宋"/>
          <w:color w:val="auto"/>
          <w:spacing w:val="9"/>
          <w:sz w:val="28"/>
          <w:szCs w:val="28"/>
          <w:lang w:val="en-US" w:eastAsia="zh-CN"/>
        </w:rPr>
        <w:t>竞争性谈判</w:t>
      </w:r>
      <w:r>
        <w:rPr>
          <w:rFonts w:hint="eastAsia" w:ascii="仿宋" w:hAnsi="仿宋" w:eastAsia="仿宋" w:cs="仿宋"/>
          <w:color w:val="auto"/>
          <w:spacing w:val="14"/>
          <w:sz w:val="28"/>
          <w:szCs w:val="28"/>
        </w:rPr>
        <w:t>方式对</w:t>
      </w:r>
      <w:r>
        <w:rPr>
          <w:rFonts w:hint="eastAsia" w:ascii="仿宋" w:hAnsi="仿宋" w:eastAsia="仿宋" w:cs="仿宋"/>
          <w:color w:val="auto"/>
          <w:spacing w:val="14"/>
          <w:sz w:val="28"/>
          <w:szCs w:val="28"/>
          <w:lang w:val="en-US" w:eastAsia="zh-CN"/>
        </w:rPr>
        <w:t>南江县人民医院危险废物委托收集、贮存、处置服务院内采购项目</w:t>
      </w:r>
      <w:r>
        <w:rPr>
          <w:rFonts w:hint="eastAsia" w:ascii="仿宋" w:hAnsi="仿宋" w:eastAsia="仿宋" w:cs="仿宋"/>
          <w:color w:val="auto"/>
          <w:spacing w:val="13"/>
          <w:sz w:val="28"/>
          <w:szCs w:val="28"/>
        </w:rPr>
        <w:t>进行</w:t>
      </w:r>
      <w:r>
        <w:rPr>
          <w:rFonts w:hint="eastAsia" w:ascii="仿宋" w:hAnsi="仿宋" w:eastAsia="仿宋" w:cs="仿宋"/>
          <w:color w:val="auto"/>
          <w:spacing w:val="6"/>
          <w:sz w:val="28"/>
          <w:szCs w:val="28"/>
        </w:rPr>
        <w:t>采购。特</w:t>
      </w:r>
      <w:r>
        <w:rPr>
          <w:rFonts w:hint="eastAsia" w:ascii="仿宋" w:hAnsi="仿宋" w:eastAsia="仿宋" w:cs="仿宋"/>
          <w:color w:val="auto"/>
          <w:spacing w:val="6"/>
          <w:sz w:val="28"/>
          <w:szCs w:val="28"/>
          <w:lang w:eastAsia="zh-CN"/>
        </w:rPr>
        <w:t>邀请</w:t>
      </w:r>
      <w:r>
        <w:rPr>
          <w:rFonts w:hint="eastAsia" w:ascii="仿宋" w:hAnsi="仿宋" w:eastAsia="仿宋" w:cs="仿宋"/>
          <w:color w:val="auto"/>
          <w:spacing w:val="6"/>
          <w:sz w:val="28"/>
          <w:szCs w:val="28"/>
        </w:rPr>
        <w:t>符合要求的单位按照</w:t>
      </w:r>
      <w:r>
        <w:rPr>
          <w:rFonts w:hint="eastAsia" w:ascii="仿宋" w:hAnsi="仿宋" w:eastAsia="仿宋" w:cs="仿宋"/>
          <w:color w:val="auto"/>
          <w:spacing w:val="13"/>
          <w:sz w:val="28"/>
          <w:szCs w:val="28"/>
          <w:lang w:val="en-US" w:eastAsia="zh-CN"/>
        </w:rPr>
        <w:t>谈判文件</w:t>
      </w:r>
      <w:r>
        <w:rPr>
          <w:rFonts w:hint="eastAsia" w:ascii="仿宋" w:hAnsi="仿宋" w:eastAsia="仿宋" w:cs="仿宋"/>
          <w:color w:val="auto"/>
          <w:spacing w:val="13"/>
          <w:sz w:val="28"/>
          <w:szCs w:val="28"/>
        </w:rPr>
        <w:t>的有关要求前来报名。</w:t>
      </w:r>
    </w:p>
    <w:p w14:paraId="60B0806B">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default" w:ascii="仿宋" w:hAnsi="仿宋" w:eastAsia="仿宋" w:cs="仿宋"/>
          <w:color w:val="auto"/>
          <w:spacing w:val="10"/>
          <w:sz w:val="28"/>
          <w:szCs w:val="28"/>
          <w:lang w:val="en-US" w:eastAsia="zh-CN"/>
        </w:rPr>
      </w:pPr>
      <w:r>
        <w:rPr>
          <w:rFonts w:hint="eastAsia" w:ascii="仿宋" w:hAnsi="仿宋" w:eastAsia="仿宋" w:cs="仿宋"/>
          <w:b/>
          <w:bCs/>
          <w:color w:val="auto"/>
          <w:spacing w:val="-6"/>
          <w:sz w:val="28"/>
          <w:szCs w:val="28"/>
          <w:lang w:val="en-US" w:eastAsia="zh-CN"/>
        </w:rPr>
        <w:t>一、</w:t>
      </w:r>
      <w:r>
        <w:rPr>
          <w:rFonts w:hint="eastAsia" w:ascii="仿宋" w:hAnsi="仿宋" w:eastAsia="仿宋" w:cs="仿宋"/>
          <w:b/>
          <w:bCs/>
          <w:color w:val="auto"/>
          <w:spacing w:val="-6"/>
          <w:sz w:val="28"/>
          <w:szCs w:val="28"/>
        </w:rPr>
        <w:t>采购编号：</w:t>
      </w:r>
      <w:r>
        <w:rPr>
          <w:rFonts w:hint="eastAsia" w:ascii="仿宋" w:hAnsi="仿宋" w:eastAsia="仿宋" w:cs="仿宋"/>
          <w:color w:val="auto"/>
          <w:spacing w:val="10"/>
          <w:sz w:val="28"/>
          <w:szCs w:val="28"/>
          <w:lang w:val="en-US" w:eastAsia="zh-CN"/>
        </w:rPr>
        <w:t>NYCG-26201-HQ</w:t>
      </w:r>
    </w:p>
    <w:p w14:paraId="10ED707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10"/>
          <w:sz w:val="28"/>
          <w:szCs w:val="28"/>
          <w:lang w:val="en-US" w:eastAsia="zh-CN"/>
        </w:rPr>
      </w:pPr>
      <w:r>
        <w:rPr>
          <w:rFonts w:hint="eastAsia" w:ascii="仿宋" w:hAnsi="仿宋" w:eastAsia="仿宋" w:cs="仿宋"/>
          <w:b/>
          <w:bCs/>
          <w:color w:val="auto"/>
          <w:spacing w:val="-6"/>
          <w:sz w:val="28"/>
          <w:szCs w:val="28"/>
          <w:lang w:val="en-US" w:eastAsia="zh-CN"/>
        </w:rPr>
        <w:t>二、采购项目名称：</w:t>
      </w:r>
      <w:r>
        <w:rPr>
          <w:rFonts w:hint="eastAsia" w:ascii="仿宋" w:hAnsi="仿宋" w:eastAsia="仿宋" w:cs="仿宋"/>
          <w:color w:val="auto"/>
          <w:spacing w:val="10"/>
          <w:sz w:val="28"/>
          <w:szCs w:val="28"/>
          <w:lang w:val="en-US" w:eastAsia="zh-CN"/>
        </w:rPr>
        <w:t>南江县人民医院危险废物委托收集、贮存、处置服务院内采购项目</w:t>
      </w:r>
    </w:p>
    <w:p w14:paraId="737D34D7">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b/>
          <w:bCs/>
          <w:color w:val="auto"/>
          <w:spacing w:val="-6"/>
          <w:sz w:val="28"/>
          <w:szCs w:val="28"/>
          <w:lang w:val="en-US" w:eastAsia="zh-CN"/>
        </w:rPr>
        <w:t>三、采购项目概况：</w:t>
      </w:r>
    </w:p>
    <w:tbl>
      <w:tblPr>
        <w:tblStyle w:val="11"/>
        <w:tblW w:w="92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7"/>
        <w:gridCol w:w="3216"/>
        <w:gridCol w:w="1316"/>
        <w:gridCol w:w="1299"/>
        <w:gridCol w:w="1540"/>
        <w:gridCol w:w="1106"/>
      </w:tblGrid>
      <w:tr w14:paraId="4F09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2CF03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序号</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2AE0AB6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auto"/>
                <w:sz w:val="24"/>
                <w:szCs w:val="24"/>
                <w:u w:val="none"/>
                <w:lang w:val="en-US"/>
              </w:rPr>
            </w:pPr>
            <w:r>
              <w:rPr>
                <w:rFonts w:hint="default" w:ascii="宋体" w:hAnsi="宋体" w:eastAsia="宋体" w:cs="宋体"/>
                <w:b/>
                <w:bCs/>
                <w:i w:val="0"/>
                <w:iCs w:val="0"/>
                <w:color w:val="auto"/>
                <w:sz w:val="24"/>
                <w:szCs w:val="24"/>
                <w:u w:val="none"/>
                <w:lang w:val="en-US"/>
              </w:rPr>
              <w:t>危险废物委托收集、贮存、处置服务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32C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代码</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DF2CD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包装要求</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65B3F0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预估处置量</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25BFA2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价格</w:t>
            </w:r>
          </w:p>
        </w:tc>
      </w:tr>
      <w:tr w14:paraId="708C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C7967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1</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F1FD0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清掏污泥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0B0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841-001-01</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6A51D9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7F1C7B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36BB20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22元/kg</w:t>
            </w:r>
          </w:p>
        </w:tc>
      </w:tr>
      <w:tr w14:paraId="7DB3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176C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62DA1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过期药品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E324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900-002-03</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3391BD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5208EB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1298E2A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30元/kg</w:t>
            </w:r>
          </w:p>
        </w:tc>
      </w:tr>
      <w:tr w14:paraId="6479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8C66C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3</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748FF2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废活性炭</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8EC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900-039-49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63F235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6DDA2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201A6A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12元/kg</w:t>
            </w:r>
          </w:p>
        </w:tc>
      </w:tr>
      <w:tr w14:paraId="0B993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1B69B5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E20AA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实验室废液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339C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900-047-49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01C71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桶装密封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15C9D7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794886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40元/kg</w:t>
            </w:r>
          </w:p>
        </w:tc>
      </w:tr>
      <w:tr w14:paraId="4B154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0703CB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5</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103949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监测废液</w:t>
            </w:r>
          </w:p>
        </w:tc>
        <w:tc>
          <w:tcPr>
            <w:tcW w:w="1236" w:type="dxa"/>
            <w:tcBorders>
              <w:top w:val="single" w:color="000000" w:sz="4" w:space="0"/>
              <w:left w:val="single" w:color="000000" w:sz="4" w:space="0"/>
              <w:bottom w:val="single" w:color="000000" w:sz="4" w:space="0"/>
              <w:right w:val="single" w:color="000000" w:sz="4" w:space="0"/>
            </w:tcBorders>
            <w:noWrap/>
            <w:vAlign w:val="center"/>
          </w:tcPr>
          <w:p w14:paraId="4EB962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900-047-49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4FCEA9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桶装密封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1D86A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584966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40元/kg</w:t>
            </w:r>
          </w:p>
        </w:tc>
      </w:tr>
    </w:tbl>
    <w:p w14:paraId="340E505D">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38" w:firstLineChars="200"/>
        <w:jc w:val="both"/>
        <w:textAlignment w:val="baseline"/>
        <w:rPr>
          <w:rFonts w:hint="eastAsia" w:ascii="仿宋" w:hAnsi="仿宋" w:eastAsia="仿宋" w:cs="仿宋"/>
          <w:color w:val="auto"/>
          <w:spacing w:val="2"/>
          <w:sz w:val="28"/>
          <w:szCs w:val="28"/>
        </w:rPr>
      </w:pPr>
      <w:r>
        <w:rPr>
          <w:rFonts w:hint="eastAsia" w:ascii="仿宋" w:hAnsi="仿宋" w:eastAsia="仿宋" w:cs="仿宋"/>
          <w:b/>
          <w:bCs/>
          <w:color w:val="auto"/>
          <w:spacing w:val="-6"/>
          <w:sz w:val="28"/>
          <w:szCs w:val="28"/>
          <w:lang w:val="en-US" w:eastAsia="zh-CN"/>
        </w:rPr>
        <w:t>四、最高限价</w:t>
      </w:r>
      <w:r>
        <w:rPr>
          <w:rFonts w:hint="eastAsia" w:ascii="仿宋" w:hAnsi="仿宋" w:eastAsia="仿宋" w:cs="仿宋"/>
          <w:color w:val="auto"/>
          <w:spacing w:val="-6"/>
          <w:sz w:val="28"/>
          <w:szCs w:val="28"/>
          <w:lang w:val="en-US" w:eastAsia="zh-CN"/>
        </w:rPr>
        <w:t>：本项目设置单项最高限价，供应商单项报价高于对应最高限价视为无效响应，低于或等于限价为有效报价。</w:t>
      </w:r>
    </w:p>
    <w:p w14:paraId="68020EAE">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38" w:firstLineChars="200"/>
        <w:jc w:val="both"/>
        <w:textAlignment w:val="baseline"/>
        <w:rPr>
          <w:rFonts w:hint="eastAsia" w:ascii="仿宋" w:hAnsi="仿宋" w:eastAsia="仿宋" w:cs="仿宋"/>
          <w:color w:val="auto"/>
          <w:sz w:val="28"/>
          <w:szCs w:val="28"/>
        </w:rPr>
      </w:pPr>
      <w:r>
        <w:rPr>
          <w:rFonts w:hint="eastAsia" w:ascii="仿宋" w:hAnsi="仿宋" w:eastAsia="仿宋" w:cs="仿宋"/>
          <w:b/>
          <w:bCs/>
          <w:color w:val="auto"/>
          <w:spacing w:val="-6"/>
          <w:sz w:val="28"/>
          <w:szCs w:val="28"/>
          <w:lang w:val="en-US" w:eastAsia="zh-CN"/>
        </w:rPr>
        <w:t>五、采购方式：</w:t>
      </w:r>
      <w:r>
        <w:rPr>
          <w:rFonts w:hint="eastAsia" w:ascii="仿宋" w:hAnsi="仿宋" w:eastAsia="仿宋" w:cs="仿宋"/>
          <w:color w:val="auto"/>
          <w:spacing w:val="6"/>
          <w:sz w:val="28"/>
          <w:szCs w:val="28"/>
          <w:lang w:val="en-US" w:eastAsia="zh-CN"/>
        </w:rPr>
        <w:t>竞争性谈判</w:t>
      </w:r>
      <w:r>
        <w:rPr>
          <w:rFonts w:hint="eastAsia" w:ascii="仿宋" w:hAnsi="仿宋" w:eastAsia="仿宋" w:cs="仿宋"/>
          <w:color w:val="auto"/>
          <w:spacing w:val="6"/>
          <w:sz w:val="28"/>
          <w:szCs w:val="28"/>
        </w:rPr>
        <w:t>。</w:t>
      </w:r>
    </w:p>
    <w:p w14:paraId="3434A73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★六、供应商应当提供的资格证明材料：</w:t>
      </w:r>
    </w:p>
    <w:p w14:paraId="0C7F7B2D">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具有独立承担民事责任的能力：供应商是法人的，提供统一社会信用代码《营业执照》复印件；供应商是其他组织的，提供能够证明其依法有效存在的书面材料复印件；供应商是自然人的，提供其有效期内的身份证复印件。</w:t>
      </w:r>
    </w:p>
    <w:p w14:paraId="4A7C6BEB">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2.具有履行合同所必需的设备和专业技术能力的证明材料或承诺函。</w:t>
      </w:r>
    </w:p>
    <w:p w14:paraId="74892134">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3.参加本次政府采购活动前三年内，在经营活动中没有重大违法记录证明或承诺函。</w:t>
      </w:r>
    </w:p>
    <w:p w14:paraId="682E8929">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4.参加本项目政府采购活动的供应商、法定代表人（主要负责人）在参加本项目前三年内不具有行贿犯罪记录：提供承诺函。</w:t>
      </w:r>
    </w:p>
    <w:p w14:paraId="1770AF22">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5.特殊资格要求：</w:t>
      </w:r>
    </w:p>
    <w:p w14:paraId="1F0320F7">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w:t>
      </w:r>
      <w:r>
        <w:rPr>
          <w:rFonts w:hint="default" w:ascii="仿宋" w:hAnsi="仿宋" w:eastAsia="仿宋" w:cs="仿宋"/>
          <w:color w:val="auto"/>
          <w:spacing w:val="6"/>
          <w:sz w:val="28"/>
          <w:szCs w:val="28"/>
          <w:lang w:val="en-US" w:eastAsia="zh-CN"/>
        </w:rPr>
        <w:t>危废处置资质：持有生态环境部门核发的有效《危险废物经营许可证》，许可经营范围完整覆盖本项目所有危废类别及代码。</w:t>
      </w:r>
    </w:p>
    <w:p w14:paraId="73A82073">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w:t>
      </w:r>
      <w:r>
        <w:rPr>
          <w:rFonts w:hint="default" w:ascii="仿宋" w:hAnsi="仿宋" w:eastAsia="仿宋" w:cs="仿宋"/>
          <w:color w:val="auto"/>
          <w:spacing w:val="6"/>
          <w:sz w:val="28"/>
          <w:szCs w:val="28"/>
          <w:lang w:val="en-US" w:eastAsia="zh-CN"/>
        </w:rPr>
        <w:t>运输资质：本单位可委托具备有效《道路运输经营许可证》，经营范围包含危险货物运输；自有或长期签约合规危废专用运输车辆，驾驶员、押运员持有有效从业资格证书。</w:t>
      </w:r>
    </w:p>
    <w:p w14:paraId="49DCDCD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w:t>
      </w:r>
      <w:r>
        <w:rPr>
          <w:rFonts w:hint="default" w:ascii="仿宋" w:hAnsi="仿宋" w:eastAsia="仿宋" w:cs="仿宋"/>
          <w:color w:val="auto"/>
          <w:spacing w:val="6"/>
          <w:sz w:val="28"/>
          <w:szCs w:val="28"/>
          <w:lang w:val="en-US" w:eastAsia="zh-CN"/>
        </w:rPr>
        <w:t>平台合规要求：已入驻属地生态环境监管平台，可完成危废转移线上报备、台账上传、全程溯源。</w:t>
      </w:r>
    </w:p>
    <w:p w14:paraId="65659A19">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w:t>
      </w:r>
      <w:r>
        <w:rPr>
          <w:rFonts w:hint="default" w:ascii="仿宋" w:hAnsi="仿宋" w:eastAsia="仿宋" w:cs="仿宋"/>
          <w:color w:val="auto"/>
          <w:spacing w:val="6"/>
          <w:sz w:val="28"/>
          <w:szCs w:val="28"/>
          <w:lang w:val="en-US" w:eastAsia="zh-CN"/>
        </w:rPr>
        <w:t>信用要求：近三年内无重大环境污染事故、无生态环境部门重大行政处罚记录，未被列入失信被执行人、重大税收违法失信主体、政府采购严重违法失信名单。</w:t>
      </w:r>
    </w:p>
    <w:p w14:paraId="3C0C2F64">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w:t>
      </w:r>
      <w:r>
        <w:rPr>
          <w:rFonts w:hint="default" w:ascii="仿宋" w:hAnsi="仿宋" w:eastAsia="仿宋" w:cs="仿宋"/>
          <w:color w:val="auto"/>
          <w:spacing w:val="6"/>
          <w:sz w:val="28"/>
          <w:szCs w:val="28"/>
          <w:lang w:val="en-US" w:eastAsia="zh-CN"/>
        </w:rPr>
        <w:t>保险要求：具备有效的环境污染责任险、危险货物承运人责任险，保障覆盖本项目服务周期。</w:t>
      </w:r>
    </w:p>
    <w:p w14:paraId="2237E62C">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6.其他要求：</w:t>
      </w:r>
    </w:p>
    <w:p w14:paraId="036B9630">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（1）提供法定代表人/组织负责人有效期内的身份证复印件；</w:t>
      </w:r>
    </w:p>
    <w:p w14:paraId="40604B27">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（2）供应商派出参加采购活动的代表不是法定代表人或组织负责人的，应提供派出代表的《授权委托书》及其有效期内的身份证复印件；</w:t>
      </w:r>
    </w:p>
    <w:p w14:paraId="5ECEC3F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（3）提供供应商基本情况表；</w:t>
      </w:r>
    </w:p>
    <w:p w14:paraId="40704EBB">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（4）提供谈判承诺函；</w:t>
      </w:r>
    </w:p>
    <w:p w14:paraId="366BD912">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（5）本项目允许联合体投标，不允许转包、违法分包。单位负责人为同一人或存在控股、管理关系的不同供应商，不得同时参与本项目谈判。</w:t>
      </w:r>
    </w:p>
    <w:p w14:paraId="1C69F94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注：以上资料须加盖公章。</w:t>
      </w:r>
    </w:p>
    <w:p w14:paraId="20C454F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★七、服务内容及要求：</w:t>
      </w:r>
    </w:p>
    <w:p w14:paraId="34998FD0">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服务内容：明确乙方负责收集、贮存、转运、处置甲方产生的危险废物，分别是在线监测设备废液、实验室废液、除臭风机箱活性炭、过期药品、污水处理站污泥，需详细列出各类废物的收集范围、包装要求等。全费用综合包干单价（含税、人工、包装、收集、装卸、运输、贮存、处置、保险、联单、报备、应急、税费等完成本项目的一切相关费用），采购人无额外付费）在合同履行过程中是固定不变的，任何有选择或可调整的报价将不予接受，并按无效响应处理。</w:t>
      </w:r>
    </w:p>
    <w:p w14:paraId="7989A81C">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标准：收集频次根据医院废物产生量合理设定，在线监测设备废液、除臭风机箱活性炭、过期药品、污水处理站等一年收集一次。运输过程要严格遵守危险废物运输相关规定，采用专用运输车辆，配备必要的应急设备，配备有限空间作业防护及检测装备。污水处理站污泥清掏无害化收集、转运、处置，根据院方要求进行处置。</w:t>
      </w:r>
    </w:p>
    <w:p w14:paraId="0E621487">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3.服务期限：3年，合同一年一签，考核合格后续签，年度考核不合格终止合同续签。（考核方案详见附件1）</w:t>
      </w:r>
    </w:p>
    <w:p w14:paraId="564A112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4.违约责任：针对乙方未按时收集、运输，或甲方未按约定支付费用等情况，明确双方应承担的违约责任，包括违约金金额、赔偿方式等；</w:t>
      </w:r>
    </w:p>
    <w:p w14:paraId="5FD6090F">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5.保险条款：乙方需购买足额的货物运输保险和环境污染责任保险，保障运输过程中的风险；</w:t>
      </w:r>
    </w:p>
    <w:p w14:paraId="3F80EEA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6.应急处置：制定突发环境事件应急处置预案，明确双方在事故发生时的责任和应急处理流程；</w:t>
      </w:r>
    </w:p>
    <w:p w14:paraId="7C68D5F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7.因中标单位对危险废物转运处置不当造成环保部门行政处罚及罚款事项，由中标单位全额承担。</w:t>
      </w:r>
    </w:p>
    <w:p w14:paraId="46A94D7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★八、商务要求：</w:t>
      </w:r>
    </w:p>
    <w:p w14:paraId="550FDD4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1.交货/服务时间：以合同约定为准。</w:t>
      </w:r>
    </w:p>
    <w:p w14:paraId="7683DD7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2.交货/服务地点：南江县人民医院指定地点。</w:t>
      </w:r>
    </w:p>
    <w:p w14:paraId="40CB11B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3.付款方式：合同单价为固定包干价，服务期内无特殊政策调整不予变动；按年度据实结算，乙方提交完整资料及合规发票后，甲方按期付款。</w:t>
      </w:r>
    </w:p>
    <w:p w14:paraId="41047746">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4.售后服务：</w:t>
      </w:r>
    </w:p>
    <w:p w14:paraId="11876457">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（1）乙方设立专属项目对接人及24小时应急联络机制，全天候响应院内突发问题，无节假日、无休班。</w:t>
      </w:r>
    </w:p>
    <w:p w14:paraId="27557A0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（2）针对危废泄漏、容器破损、突发堆积、转运异常、污染隐患等突发情况，接到通知后快速到场处置，完成现场清理、消杀、隐患整改，杜绝污染扩散、安全事故发生。</w:t>
      </w:r>
    </w:p>
    <w:p w14:paraId="2D872454">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（3）具备完善的应急处置预案，配备齐全的应急防护、堵漏、消杀物资，突发环保检查、安全隐患问题可第一时间协同处置，全程兜底化解风险。</w:t>
      </w:r>
    </w:p>
    <w:p w14:paraId="6A56DC86">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验收标准严格参照政府采购相关法律法规以及《财政部关于进一步加强政府采购需求和履约验收管理的指导意见的通知》（财库〔2016〕205号）、《财政部关于印发〈政府采购需求管理办法〉的通知》（财库〔2021〕22号）、《巴中市财政局关于进一步加强政府采购项目合同履约验收管理工作的通知》（巴财采〔2021〕21号）的要求、采购文件的质量要求和技术指标、成交供应商的响应文件及承诺以及合同约定标准进行验收。由甲方组织人员进行最终验收。</w:t>
      </w:r>
    </w:p>
    <w:p w14:paraId="65663D3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九、开标时间及地点：</w:t>
      </w:r>
    </w:p>
    <w:p w14:paraId="00CB731F">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1.递交响应文件截止时间：2026年8月21日15:00。</w:t>
      </w:r>
    </w:p>
    <w:p w14:paraId="075331BC">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2.响应文件的递交：响应文件必须在递交响应文件截止时间前送达谈判地点。逾期送达、密封和标注错误的响应文件，为无效响应文件，不予接收（本项目不接受邮寄的响应文件）。</w:t>
      </w:r>
    </w:p>
    <w:p w14:paraId="3B3A7485">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3.响应文件开启时间：2026年8月21日15：00。</w:t>
      </w:r>
    </w:p>
    <w:p w14:paraId="209120AD">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4.谈判地点：南江县人民医院第二办公区五楼开标室</w:t>
      </w:r>
    </w:p>
    <w:p w14:paraId="38502441">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b/>
          <w:bCs/>
          <w:color w:val="auto"/>
          <w:spacing w:val="-6"/>
          <w:sz w:val="28"/>
          <w:szCs w:val="28"/>
          <w:lang w:val="en-US" w:eastAsia="zh-CN"/>
        </w:rPr>
        <w:t>十、本次采购项目在南江县人民医院官网上以公告形式发布。</w:t>
      </w:r>
    </w:p>
    <w:p w14:paraId="1B90740D">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十一、联系方式：</w:t>
      </w:r>
    </w:p>
    <w:p w14:paraId="1C5412E0">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eastAsia" w:ascii="仿宋" w:hAnsi="仿宋" w:eastAsia="仿宋" w:cs="仿宋"/>
          <w:color w:val="auto"/>
          <w:spacing w:val="3"/>
          <w:sz w:val="28"/>
          <w:szCs w:val="28"/>
        </w:rPr>
        <w:t>联系人：</w:t>
      </w:r>
      <w:r>
        <w:rPr>
          <w:rFonts w:hint="eastAsia" w:ascii="仿宋" w:hAnsi="仿宋" w:eastAsia="仿宋" w:cs="仿宋"/>
          <w:color w:val="auto"/>
          <w:spacing w:val="3"/>
          <w:sz w:val="28"/>
          <w:szCs w:val="28"/>
          <w:lang w:val="en-US" w:eastAsia="zh-CN"/>
        </w:rPr>
        <w:t>王女士</w:t>
      </w:r>
      <w:r>
        <w:rPr>
          <w:rFonts w:hint="eastAsia" w:ascii="仿宋" w:hAnsi="仿宋" w:eastAsia="仿宋" w:cs="仿宋"/>
          <w:color w:val="auto"/>
          <w:spacing w:val="3"/>
          <w:sz w:val="28"/>
          <w:szCs w:val="28"/>
        </w:rPr>
        <w:t xml:space="preserve">  联系电话：</w:t>
      </w:r>
      <w:r>
        <w:rPr>
          <w:rFonts w:hint="eastAsia" w:ascii="仿宋" w:hAnsi="仿宋" w:eastAsia="仿宋" w:cs="仿宋"/>
          <w:color w:val="auto"/>
          <w:spacing w:val="3"/>
          <w:sz w:val="28"/>
          <w:szCs w:val="28"/>
          <w:lang w:val="en-US" w:eastAsia="zh-CN"/>
        </w:rPr>
        <w:t>0827-8228745</w:t>
      </w:r>
    </w:p>
    <w:p w14:paraId="38561F00">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纪委办：张女士  联系电话：0827-8205677</w:t>
      </w:r>
    </w:p>
    <w:p w14:paraId="427E379D">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★十二、报价方式：</w:t>
      </w:r>
    </w:p>
    <w:p w14:paraId="04DD9949">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1.本项目采用统一折扣率报价方式。供应商无需逐项报出单价，只需报出适用于全部品目的统一折扣率(%)。</w:t>
      </w:r>
    </w:p>
    <w:p w14:paraId="241CACF8">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2.实际成交单价=该品目单价限价x供应商所报折扣率(保留两位小数)。</w:t>
      </w:r>
    </w:p>
    <w:p w14:paraId="54F28DD8">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3.供应商所报折扣率应小于或等于100%，且为固定值。报价一经报出，在合同执行期内固定不变，不因市场价格波动或政策调整而变更。</w:t>
      </w:r>
    </w:p>
    <w:p w14:paraId="4C773994">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default"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w:t>
      </w:r>
      <w:bookmarkStart w:id="2" w:name="_GoBack"/>
      <w:bookmarkEnd w:id="2"/>
      <w:r>
        <w:rPr>
          <w:rFonts w:hint="eastAsia" w:ascii="仿宋" w:hAnsi="仿宋" w:eastAsia="仿宋" w:cs="仿宋"/>
          <w:b/>
          <w:bCs/>
          <w:color w:val="auto"/>
          <w:spacing w:val="-6"/>
          <w:sz w:val="28"/>
          <w:szCs w:val="28"/>
          <w:lang w:val="en-US" w:eastAsia="zh-CN"/>
        </w:rPr>
        <w:t>十</w:t>
      </w:r>
      <w:r>
        <w:rPr>
          <w:rFonts w:hint="default" w:ascii="仿宋" w:hAnsi="仿宋" w:eastAsia="仿宋" w:cs="仿宋"/>
          <w:b/>
          <w:bCs/>
          <w:color w:val="auto"/>
          <w:spacing w:val="-6"/>
          <w:sz w:val="28"/>
          <w:szCs w:val="28"/>
          <w:lang w:val="en-US" w:eastAsia="zh-CN"/>
        </w:rPr>
        <w:t>三、评审方法</w:t>
      </w:r>
      <w:r>
        <w:rPr>
          <w:rFonts w:hint="eastAsia" w:ascii="仿宋" w:hAnsi="仿宋" w:eastAsia="仿宋" w:cs="仿宋"/>
          <w:b/>
          <w:bCs/>
          <w:color w:val="auto"/>
          <w:spacing w:val="-6"/>
          <w:sz w:val="28"/>
          <w:szCs w:val="28"/>
          <w:lang w:val="en-US" w:eastAsia="zh-CN"/>
        </w:rPr>
        <w:t>：</w:t>
      </w:r>
    </w:p>
    <w:p w14:paraId="3FD9BFC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本项目采用最低评标价法。谈判小组对满足谈判文件全部实质性要求的供应商，按照最后报价中的折扣率由低到高排序，推荐折扣率最低的供应商为成交候选人。</w:t>
      </w:r>
    </w:p>
    <w:p w14:paraId="2B445511">
      <w:pPr>
        <w:pStyle w:val="5"/>
        <w:keepNext w:val="0"/>
        <w:keepLines w:val="0"/>
        <w:pageBreakBefore w:val="0"/>
        <w:widowControl/>
        <w:kinsoku/>
        <w:wordWrap w:val="0"/>
        <w:overflowPunct/>
        <w:topLinePunct/>
        <w:autoSpaceDE/>
        <w:autoSpaceDN/>
        <w:bidi w:val="0"/>
        <w:adjustRightInd w:val="0"/>
        <w:snapToGrid w:val="0"/>
        <w:spacing w:line="440" w:lineRule="exact"/>
        <w:ind w:left="0" w:leftChars="0" w:right="0" w:firstLine="560" w:firstLineChars="200"/>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rPr>
        <w:t>（注：以上带为实质性参数，技术参数及商务应答不允许负偏</w:t>
      </w:r>
      <w:r>
        <w:rPr>
          <w:rFonts w:hint="eastAsia" w:ascii="仿宋" w:hAnsi="仿宋" w:eastAsia="仿宋" w:cs="仿宋"/>
          <w:color w:val="auto"/>
          <w:sz w:val="28"/>
          <w:szCs w:val="28"/>
          <w:lang w:val="en-US" w:eastAsia="zh-CN"/>
        </w:rPr>
        <w:t>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负偏离视为无效响应</w:t>
      </w:r>
      <w:r>
        <w:rPr>
          <w:rFonts w:hint="eastAsia" w:ascii="仿宋" w:hAnsi="仿宋" w:eastAsia="仿宋" w:cs="仿宋"/>
          <w:color w:val="auto"/>
          <w:sz w:val="28"/>
          <w:szCs w:val="28"/>
        </w:rPr>
        <w:t>）</w:t>
      </w:r>
    </w:p>
    <w:p w14:paraId="59FBB2B1">
      <w:pPr>
        <w:rPr>
          <w:rFonts w:hint="eastAsia"/>
          <w:color w:val="auto"/>
        </w:rPr>
      </w:pPr>
      <w:r>
        <w:rPr>
          <w:rFonts w:hint="eastAsia"/>
          <w:color w:val="auto"/>
        </w:rPr>
        <w:br w:type="page"/>
      </w:r>
    </w:p>
    <w:p w14:paraId="4C2D2827">
      <w:pPr>
        <w:rPr>
          <w:rFonts w:hint="eastAsia"/>
          <w:color w:val="auto"/>
        </w:rPr>
        <w:sectPr>
          <w:headerReference r:id="rId6" w:type="default"/>
          <w:footerReference r:id="rId7" w:type="default"/>
          <w:pgSz w:w="11906" w:h="16838"/>
          <w:pgMar w:top="2098" w:right="1474" w:bottom="1984" w:left="1587" w:header="851" w:footer="992" w:gutter="0"/>
          <w:pgNumType w:fmt="decimal"/>
          <w:cols w:space="425" w:num="1"/>
          <w:docGrid w:type="lines" w:linePitch="312" w:charSpace="0"/>
        </w:sectPr>
      </w:pPr>
    </w:p>
    <w:p w14:paraId="43A43AAC">
      <w:pPr>
        <w:keepNext w:val="0"/>
        <w:keepLines w:val="0"/>
        <w:pageBreakBefore w:val="0"/>
        <w:widowControl/>
        <w:kinsoku/>
        <w:wordWrap w:val="0"/>
        <w:overflowPunct/>
        <w:topLinePunct/>
        <w:autoSpaceDE/>
        <w:autoSpaceDN/>
        <w:bidi w:val="0"/>
        <w:adjustRightInd w:val="0"/>
        <w:snapToGrid w:val="0"/>
        <w:spacing w:line="440" w:lineRule="atLeast"/>
        <w:ind w:right="0"/>
        <w:jc w:val="center"/>
        <w:textAlignment w:val="baseline"/>
        <w:outlineLvl w:val="0"/>
        <w:rPr>
          <w:rFonts w:hint="eastAsia" w:ascii="方正小标宋简体" w:hAnsi="方正小标宋简体" w:eastAsia="方正小标宋简体" w:cs="方正小标宋简体"/>
          <w:b w:val="0"/>
          <w:bCs w:val="0"/>
          <w:color w:val="auto"/>
          <w:spacing w:val="17"/>
          <w:sz w:val="32"/>
          <w:szCs w:val="32"/>
        </w:rPr>
      </w:pPr>
      <w:r>
        <w:rPr>
          <w:rFonts w:hint="eastAsia" w:ascii="方正小标宋简体" w:hAnsi="方正小标宋简体" w:eastAsia="方正小标宋简体" w:cs="方正小标宋简体"/>
          <w:b w:val="0"/>
          <w:bCs w:val="0"/>
          <w:color w:val="auto"/>
          <w:spacing w:val="17"/>
          <w:sz w:val="32"/>
          <w:szCs w:val="32"/>
        </w:rPr>
        <w:t>第</w:t>
      </w:r>
      <w:r>
        <w:rPr>
          <w:rFonts w:hint="eastAsia" w:ascii="方正小标宋简体" w:hAnsi="方正小标宋简体" w:eastAsia="方正小标宋简体" w:cs="方正小标宋简体"/>
          <w:b w:val="0"/>
          <w:bCs w:val="0"/>
          <w:color w:val="auto"/>
          <w:spacing w:val="17"/>
          <w:sz w:val="32"/>
          <w:szCs w:val="32"/>
          <w:lang w:val="en-US" w:eastAsia="zh-CN"/>
        </w:rPr>
        <w:t>二</w:t>
      </w:r>
      <w:r>
        <w:rPr>
          <w:rFonts w:hint="eastAsia" w:ascii="方正小标宋简体" w:hAnsi="方正小标宋简体" w:eastAsia="方正小标宋简体" w:cs="方正小标宋简体"/>
          <w:b w:val="0"/>
          <w:bCs w:val="0"/>
          <w:color w:val="auto"/>
          <w:spacing w:val="17"/>
          <w:sz w:val="32"/>
          <w:szCs w:val="32"/>
        </w:rPr>
        <w:t>章响应文件格式</w:t>
      </w:r>
    </w:p>
    <w:p w14:paraId="6EDB2603">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both"/>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一、</w:t>
      </w:r>
      <w:r>
        <w:rPr>
          <w:rFonts w:hint="eastAsia" w:ascii="仿宋" w:hAnsi="仿宋" w:eastAsia="仿宋" w:cs="仿宋"/>
          <w:color w:val="auto"/>
          <w:spacing w:val="26"/>
          <w:sz w:val="28"/>
          <w:szCs w:val="28"/>
          <w:lang w:eastAsia="zh-CN"/>
        </w:rPr>
        <w:t>响应文件的组成（实质性要求）</w:t>
      </w:r>
    </w:p>
    <w:p w14:paraId="4C457D9B">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应按照谈判文件的规定和要求编制响应文件。供应商在成交后将成交项目的非主体、非关键性工作分包他人完成的，应当在响应文件中载明或谈判过程中澄清。供应商编写的响应文件应包括资格性响应文件和其他响应文件两部分，分册装订。</w:t>
      </w:r>
    </w:p>
    <w:p w14:paraId="0B1384E5">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二、资格性响应文件正本1份副本1份，并在其封面上清楚地标明资格性响应文件、采购项目名称、采购项目编号、包件号及名称（若有）、供应商名称以及“正本”或“副本”字样。若正本和副本有不一致的内容，以正本书面响应文件为准。</w:t>
      </w:r>
    </w:p>
    <w:p w14:paraId="7FA139CF">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三、其他响应文件正本1份副本1份，并在其封面上清楚地标明其他响应文件、采购项目名称、采购项目编号、包件号及名称（若有）、供应商名称以及“正本”或“副本”字样。若正本和副本有不一致的内容，以正本书面响应文件为准。</w:t>
      </w:r>
    </w:p>
    <w:p w14:paraId="3614871C">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四、（实质性要求）响应文件应由供应商法定代表人或其授权代表在响应文件要求的地方签字（或加盖私人印章），要求加盖公章的地方加盖单位公章，不得使用专用章（如经济合同章、投标专用章等）或下属单位印章代替。</w:t>
      </w:r>
    </w:p>
    <w:p w14:paraId="405D7314">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五、响应文件正本和副本需要逐页编目编码。</w:t>
      </w:r>
    </w:p>
    <w:p w14:paraId="6E80419E">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六、响应文件正本和副本须采用胶装方式装订成册，不得散装或者合页装订。</w:t>
      </w:r>
    </w:p>
    <w:p w14:paraId="124097D3">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七、响应文件需进行密封包装，响应文件可以单独密封包装，也可以将所有响应文件密封包装在一个密封袋内。响应文件密封袋的最外层应清楚地标明采购项目名称、采购项目编号、包件号及名称（若有）、供应商名称。所有外层密封袋的封口处应粘贴牢固。</w:t>
      </w:r>
    </w:p>
    <w:p w14:paraId="72DEC890">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八、未按以上要求进行密封和标注的响应文件，采购人、采购代理机构将拒收并视为无效响应文件。</w:t>
      </w:r>
    </w:p>
    <w:p w14:paraId="45A5F2E1">
      <w:pPr>
        <w:keepNext w:val="0"/>
        <w:keepLines w:val="0"/>
        <w:pageBreakBefore w:val="0"/>
        <w:widowControl/>
        <w:overflowPunct/>
        <w:bidi w:val="0"/>
        <w:adjustRightInd w:val="0"/>
        <w:snapToGrid w:val="0"/>
        <w:spacing w:line="440" w:lineRule="atLeast"/>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5FA5B2C8">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方正小标宋简体" w:hAnsi="方正小标宋简体" w:eastAsia="方正小标宋简体" w:cs="方正小标宋简体"/>
          <w:color w:val="auto"/>
          <w:spacing w:val="26"/>
          <w:sz w:val="44"/>
          <w:szCs w:val="44"/>
          <w:lang w:eastAsia="zh-CN"/>
        </w:rPr>
      </w:pPr>
      <w:r>
        <w:rPr>
          <w:rFonts w:hint="eastAsia" w:ascii="方正小标宋简体" w:hAnsi="方正小标宋简体" w:eastAsia="方正小标宋简体" w:cs="方正小标宋简体"/>
          <w:color w:val="auto"/>
          <w:spacing w:val="26"/>
          <w:sz w:val="44"/>
          <w:szCs w:val="44"/>
          <w:lang w:eastAsia="zh-CN"/>
        </w:rPr>
        <w:t>第一部分“资格性响应文件”格式</w:t>
      </w:r>
    </w:p>
    <w:p w14:paraId="0EED6CFC">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28"/>
          <w:szCs w:val="28"/>
          <w:lang w:eastAsia="zh-CN"/>
        </w:rPr>
      </w:pPr>
    </w:p>
    <w:p w14:paraId="5025426D">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格式1-1</w:t>
      </w:r>
    </w:p>
    <w:p w14:paraId="7310B8D1">
      <w:pPr>
        <w:keepNext w:val="0"/>
        <w:keepLines w:val="0"/>
        <w:pageBreakBefore w:val="0"/>
        <w:widowControl/>
        <w:kinsoku/>
        <w:wordWrap w:val="0"/>
        <w:overflowPunct/>
        <w:topLinePunct/>
        <w:autoSpaceDE/>
        <w:autoSpaceDN/>
        <w:bidi w:val="0"/>
        <w:adjustRightInd w:val="0"/>
        <w:snapToGrid w:val="0"/>
        <w:spacing w:before="75" w:line="219" w:lineRule="auto"/>
        <w:jc w:val="right"/>
        <w:rPr>
          <w:rFonts w:hint="eastAsia" w:ascii="仿宋_GB2312" w:hAnsi="仿宋_GB2312" w:eastAsia="仿宋_GB2312" w:cs="仿宋_GB2312"/>
          <w:color w:val="auto"/>
          <w:spacing w:val="26"/>
          <w:sz w:val="36"/>
          <w:szCs w:val="36"/>
          <w:lang w:eastAsia="zh-CN"/>
        </w:rPr>
      </w:pPr>
      <w:r>
        <w:rPr>
          <w:rFonts w:hint="eastAsia" w:ascii="仿宋_GB2312" w:hAnsi="仿宋_GB2312" w:eastAsia="仿宋_GB2312" w:cs="仿宋_GB2312"/>
          <w:color w:val="auto"/>
          <w:spacing w:val="26"/>
          <w:sz w:val="36"/>
          <w:szCs w:val="36"/>
          <w:lang w:eastAsia="zh-CN"/>
        </w:rPr>
        <w:t>（正本/副本）</w:t>
      </w:r>
    </w:p>
    <w:p w14:paraId="534C2859">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01E4F4F5">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1157413B">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5DE5910E">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74654374">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315269F7">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44"/>
          <w:szCs w:val="44"/>
          <w:lang w:eastAsia="zh-CN"/>
        </w:rPr>
      </w:pPr>
      <w:r>
        <w:rPr>
          <w:rFonts w:hint="eastAsia" w:ascii="仿宋_GB2312" w:hAnsi="仿宋_GB2312" w:eastAsia="仿宋_GB2312" w:cs="仿宋_GB2312"/>
          <w:color w:val="auto"/>
          <w:spacing w:val="26"/>
          <w:sz w:val="44"/>
          <w:szCs w:val="44"/>
          <w:lang w:eastAsia="zh-CN"/>
        </w:rPr>
        <w:t>XX项目</w:t>
      </w:r>
    </w:p>
    <w:p w14:paraId="7821CCD3">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1F7E6D7E">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52"/>
          <w:szCs w:val="52"/>
          <w:lang w:eastAsia="zh-CN"/>
        </w:rPr>
      </w:pPr>
      <w:r>
        <w:rPr>
          <w:rFonts w:hint="eastAsia" w:ascii="仿宋_GB2312" w:hAnsi="仿宋_GB2312" w:eastAsia="仿宋_GB2312" w:cs="仿宋_GB2312"/>
          <w:color w:val="auto"/>
          <w:spacing w:val="26"/>
          <w:sz w:val="52"/>
          <w:szCs w:val="52"/>
          <w:lang w:eastAsia="zh-CN"/>
        </w:rPr>
        <w:t>资格性响应文件</w:t>
      </w:r>
    </w:p>
    <w:p w14:paraId="35C11AC0">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7A1DD72A">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default" w:ascii="仿宋_GB2312" w:hAnsi="仿宋_GB2312" w:eastAsia="仿宋_GB2312" w:cs="仿宋_GB2312"/>
          <w:color w:val="auto"/>
          <w:spacing w:val="26"/>
          <w:sz w:val="28"/>
          <w:szCs w:val="28"/>
          <w:lang w:val="en-US" w:eastAsia="zh-CN"/>
        </w:rPr>
      </w:pPr>
    </w:p>
    <w:p w14:paraId="492F2F13">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default" w:ascii="仿宋_GB2312" w:hAnsi="仿宋_GB2312" w:eastAsia="仿宋_GB2312" w:cs="仿宋_GB2312"/>
          <w:color w:val="auto"/>
          <w:spacing w:val="26"/>
          <w:sz w:val="28"/>
          <w:szCs w:val="28"/>
          <w:lang w:val="en-US" w:eastAsia="zh-CN"/>
        </w:rPr>
      </w:pPr>
    </w:p>
    <w:p w14:paraId="5EB79999">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供应商名称：</w:t>
      </w:r>
    </w:p>
    <w:p w14:paraId="461752B4">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采购项目编号：</w:t>
      </w:r>
    </w:p>
    <w:p w14:paraId="5528FDE8">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法定代表人或委托代理人签字：</w:t>
      </w:r>
    </w:p>
    <w:p w14:paraId="03688516">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p>
    <w:p w14:paraId="403ACEA0">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p>
    <w:p w14:paraId="7BCE9315">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XXXX年XX月XX日</w:t>
      </w:r>
    </w:p>
    <w:p w14:paraId="651788F1">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549BBF79">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一、法定代表人授权书/法定代表人身份证明</w:t>
      </w:r>
    </w:p>
    <w:p w14:paraId="4C0E5D66">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p>
    <w:p w14:paraId="34B1A6ED">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（一）法定代表人身份证明</w:t>
      </w:r>
    </w:p>
    <w:p w14:paraId="5D1026E4">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谈判人名称：</w:t>
      </w:r>
    </w:p>
    <w:p w14:paraId="2F6546AE">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单位性质：</w:t>
      </w:r>
    </w:p>
    <w:p w14:paraId="2BD2BB68">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地址：</w:t>
      </w:r>
    </w:p>
    <w:p w14:paraId="0523D7C9">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成立时间：XXXX年XX月XX日</w:t>
      </w:r>
    </w:p>
    <w:p w14:paraId="46F95A3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经营期限：</w:t>
      </w:r>
    </w:p>
    <w:p w14:paraId="72A990C1">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姓名：XXX，系（供应商名称）的法定代表人（职务：电话）。属实。</w:t>
      </w:r>
    </w:p>
    <w:p w14:paraId="19153BF5">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特此证明。</w:t>
      </w:r>
    </w:p>
    <w:p w14:paraId="4A737D0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附：法定代表人身份证复印件</w:t>
      </w:r>
    </w:p>
    <w:p w14:paraId="60834208">
      <w:pPr>
        <w:keepNext w:val="0"/>
        <w:keepLines w:val="0"/>
        <w:pageBreakBefore w:val="0"/>
        <w:widowControl/>
        <w:kinsoku/>
        <w:wordWrap/>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1B8FFB58">
      <w:pPr>
        <w:keepNext w:val="0"/>
        <w:keepLines w:val="0"/>
        <w:pageBreakBefore w:val="0"/>
        <w:widowControl/>
        <w:kinsoku/>
        <w:wordWrap/>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年月日</w:t>
      </w:r>
    </w:p>
    <w:p w14:paraId="598EC87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注：此证明仅用于法定代表人亲自投标而非委托代理人谈判。</w:t>
      </w:r>
    </w:p>
    <w:p w14:paraId="3767C35E">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p>
    <w:p w14:paraId="34D45D0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w:t>
      </w:r>
    </w:p>
    <w:p w14:paraId="61C1639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（二）法定代表人授权书：</w:t>
      </w:r>
    </w:p>
    <w:p w14:paraId="200086FA">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本授权书：（供应商名称）（法定代表人姓名、职务）授权（被授权人姓名、职务）为我公司“XX项目”（采购项目编号）谈判活动的合法代表，以我方名义全权处理该项目有关谈判、签订合同以及执行合同等一切事宜。</w:t>
      </w:r>
    </w:p>
    <w:p w14:paraId="20E89066">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both"/>
        <w:textAlignment w:val="baseline"/>
        <w:rPr>
          <w:rFonts w:hint="eastAsia" w:ascii="仿宋" w:hAnsi="仿宋" w:eastAsia="仿宋" w:cs="仿宋"/>
          <w:color w:val="auto"/>
          <w:spacing w:val="26"/>
          <w:sz w:val="28"/>
          <w:szCs w:val="28"/>
          <w:lang w:eastAsia="zh-CN"/>
        </w:rPr>
      </w:pPr>
    </w:p>
    <w:p w14:paraId="12F536EF">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法定代表人（签字或盖章）：XXX</w:t>
      </w:r>
    </w:p>
    <w:p w14:paraId="53EB5AD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法定代表人或授权代表签字：XXX</w:t>
      </w:r>
    </w:p>
    <w:p w14:paraId="7458D77D">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2833B3C2">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4C051091">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p>
    <w:p w14:paraId="16A77D4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p>
    <w:p w14:paraId="28AD44E0">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注：本授权书仅用于委托代理人谈判而非法定代表人参加谈判。</w:t>
      </w:r>
    </w:p>
    <w:p w14:paraId="2FAA17EE">
      <w:pPr>
        <w:keepNext w:val="0"/>
        <w:keepLines w:val="0"/>
        <w:pageBreakBefore w:val="0"/>
        <w:widowControl/>
        <w:overflowPunct/>
        <w:bidi w:val="0"/>
        <w:adjustRightInd w:val="0"/>
        <w:snapToGrid w:val="0"/>
        <w:spacing w:line="360" w:lineRule="exact"/>
        <w:ind w:firstLine="664" w:firstLineChars="200"/>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2C901FD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二、供应商基本情况表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3BD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34DF356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供应商名称</w:t>
            </w:r>
          </w:p>
        </w:tc>
        <w:tc>
          <w:tcPr>
            <w:tcW w:w="7560" w:type="dxa"/>
            <w:gridSpan w:val="11"/>
            <w:noWrap w:val="0"/>
            <w:vAlign w:val="center"/>
          </w:tcPr>
          <w:p w14:paraId="7A882E4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E12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513108F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注册地址</w:t>
            </w:r>
          </w:p>
        </w:tc>
        <w:tc>
          <w:tcPr>
            <w:tcW w:w="4680" w:type="dxa"/>
            <w:gridSpan w:val="6"/>
            <w:noWrap w:val="0"/>
            <w:vAlign w:val="center"/>
          </w:tcPr>
          <w:p w14:paraId="668C05B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0C9FAEF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邮政编码</w:t>
            </w:r>
          </w:p>
        </w:tc>
        <w:tc>
          <w:tcPr>
            <w:tcW w:w="1620" w:type="dxa"/>
            <w:gridSpan w:val="2"/>
            <w:noWrap w:val="0"/>
            <w:vAlign w:val="center"/>
          </w:tcPr>
          <w:p w14:paraId="3C855F8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9CC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14A8D19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联系方式</w:t>
            </w:r>
          </w:p>
        </w:tc>
        <w:tc>
          <w:tcPr>
            <w:tcW w:w="1080" w:type="dxa"/>
            <w:noWrap w:val="0"/>
            <w:vAlign w:val="center"/>
          </w:tcPr>
          <w:p w14:paraId="2B720AF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联系人</w:t>
            </w:r>
          </w:p>
        </w:tc>
        <w:tc>
          <w:tcPr>
            <w:tcW w:w="3600" w:type="dxa"/>
            <w:gridSpan w:val="5"/>
            <w:noWrap w:val="0"/>
            <w:vAlign w:val="center"/>
          </w:tcPr>
          <w:p w14:paraId="46B9783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26D66EE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620" w:type="dxa"/>
            <w:gridSpan w:val="2"/>
            <w:noWrap w:val="0"/>
            <w:vAlign w:val="center"/>
          </w:tcPr>
          <w:p w14:paraId="43ACFB6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E6A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2AE82E81">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080" w:type="dxa"/>
            <w:noWrap w:val="0"/>
            <w:vAlign w:val="center"/>
          </w:tcPr>
          <w:p w14:paraId="7B025C3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传真</w:t>
            </w:r>
          </w:p>
        </w:tc>
        <w:tc>
          <w:tcPr>
            <w:tcW w:w="3600" w:type="dxa"/>
            <w:gridSpan w:val="5"/>
            <w:noWrap w:val="0"/>
            <w:vAlign w:val="center"/>
          </w:tcPr>
          <w:p w14:paraId="1420749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33C915D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网址</w:t>
            </w:r>
          </w:p>
        </w:tc>
        <w:tc>
          <w:tcPr>
            <w:tcW w:w="1620" w:type="dxa"/>
            <w:gridSpan w:val="2"/>
            <w:noWrap w:val="0"/>
            <w:vAlign w:val="center"/>
          </w:tcPr>
          <w:p w14:paraId="55E91CDD">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7F2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7D14E77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组织结构</w:t>
            </w:r>
          </w:p>
        </w:tc>
        <w:tc>
          <w:tcPr>
            <w:tcW w:w="7560" w:type="dxa"/>
            <w:gridSpan w:val="11"/>
            <w:noWrap w:val="0"/>
            <w:vAlign w:val="center"/>
          </w:tcPr>
          <w:p w14:paraId="7D7D2E8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913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4064201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法定代表人</w:t>
            </w:r>
          </w:p>
        </w:tc>
        <w:tc>
          <w:tcPr>
            <w:tcW w:w="1260" w:type="dxa"/>
            <w:gridSpan w:val="2"/>
            <w:noWrap w:val="0"/>
            <w:vAlign w:val="center"/>
          </w:tcPr>
          <w:p w14:paraId="7C0299C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姓名</w:t>
            </w:r>
          </w:p>
        </w:tc>
        <w:tc>
          <w:tcPr>
            <w:tcW w:w="1260" w:type="dxa"/>
            <w:noWrap w:val="0"/>
            <w:vAlign w:val="center"/>
          </w:tcPr>
          <w:p w14:paraId="3B83B67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noWrap w:val="0"/>
            <w:vAlign w:val="center"/>
          </w:tcPr>
          <w:p w14:paraId="70016D9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技术职称</w:t>
            </w:r>
          </w:p>
        </w:tc>
        <w:tc>
          <w:tcPr>
            <w:tcW w:w="1260" w:type="dxa"/>
            <w:gridSpan w:val="3"/>
            <w:noWrap w:val="0"/>
            <w:vAlign w:val="center"/>
          </w:tcPr>
          <w:p w14:paraId="5197323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7AE0813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260" w:type="dxa"/>
            <w:noWrap w:val="0"/>
            <w:vAlign w:val="center"/>
          </w:tcPr>
          <w:p w14:paraId="7DEDEA6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2C5D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77B0CAB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技术负责人</w:t>
            </w:r>
          </w:p>
        </w:tc>
        <w:tc>
          <w:tcPr>
            <w:tcW w:w="1260" w:type="dxa"/>
            <w:gridSpan w:val="2"/>
            <w:noWrap w:val="0"/>
            <w:vAlign w:val="center"/>
          </w:tcPr>
          <w:p w14:paraId="6F4246C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姓名</w:t>
            </w:r>
          </w:p>
        </w:tc>
        <w:tc>
          <w:tcPr>
            <w:tcW w:w="1260" w:type="dxa"/>
            <w:noWrap w:val="0"/>
            <w:vAlign w:val="center"/>
          </w:tcPr>
          <w:p w14:paraId="11051ED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noWrap w:val="0"/>
            <w:vAlign w:val="center"/>
          </w:tcPr>
          <w:p w14:paraId="5D14D76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技术职称</w:t>
            </w:r>
          </w:p>
        </w:tc>
        <w:tc>
          <w:tcPr>
            <w:tcW w:w="1260" w:type="dxa"/>
            <w:gridSpan w:val="3"/>
            <w:noWrap w:val="0"/>
            <w:vAlign w:val="center"/>
          </w:tcPr>
          <w:p w14:paraId="61EC8A3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3E6897A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260" w:type="dxa"/>
            <w:noWrap w:val="0"/>
            <w:vAlign w:val="center"/>
          </w:tcPr>
          <w:p w14:paraId="26CB5877">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1701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640C95A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成立时间</w:t>
            </w:r>
          </w:p>
        </w:tc>
        <w:tc>
          <w:tcPr>
            <w:tcW w:w="2520" w:type="dxa"/>
            <w:gridSpan w:val="3"/>
            <w:noWrap w:val="0"/>
            <w:vAlign w:val="center"/>
          </w:tcPr>
          <w:p w14:paraId="4D66CA2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5040" w:type="dxa"/>
            <w:gridSpan w:val="8"/>
            <w:noWrap w:val="0"/>
            <w:vAlign w:val="center"/>
          </w:tcPr>
          <w:p w14:paraId="5A482925">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员工总人数：</w:t>
            </w:r>
          </w:p>
        </w:tc>
      </w:tr>
      <w:tr w14:paraId="7CC0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0A619FD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企业资质等级</w:t>
            </w:r>
          </w:p>
        </w:tc>
        <w:tc>
          <w:tcPr>
            <w:tcW w:w="2520" w:type="dxa"/>
            <w:gridSpan w:val="3"/>
            <w:noWrap w:val="0"/>
            <w:vAlign w:val="center"/>
          </w:tcPr>
          <w:p w14:paraId="78B5510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restart"/>
            <w:noWrap w:val="0"/>
            <w:vAlign w:val="center"/>
          </w:tcPr>
          <w:p w14:paraId="7259263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其中</w:t>
            </w:r>
          </w:p>
        </w:tc>
        <w:tc>
          <w:tcPr>
            <w:tcW w:w="1680" w:type="dxa"/>
            <w:gridSpan w:val="3"/>
            <w:noWrap w:val="0"/>
            <w:vAlign w:val="center"/>
          </w:tcPr>
          <w:p w14:paraId="6B81BDC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项目经理</w:t>
            </w:r>
          </w:p>
        </w:tc>
        <w:tc>
          <w:tcPr>
            <w:tcW w:w="1680" w:type="dxa"/>
            <w:gridSpan w:val="3"/>
            <w:noWrap w:val="0"/>
            <w:vAlign w:val="center"/>
          </w:tcPr>
          <w:p w14:paraId="5A9A242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5495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44252CB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营业执照</w:t>
            </w:r>
            <w:r>
              <w:rPr>
                <w:rFonts w:hint="eastAsia" w:ascii="仿宋" w:hAnsi="仿宋" w:eastAsia="仿宋" w:cs="仿宋"/>
                <w:snapToGrid/>
                <w:color w:val="auto"/>
                <w:kern w:val="2"/>
                <w:sz w:val="24"/>
                <w:szCs w:val="32"/>
                <w:lang w:eastAsia="zh-CN" w:bidi="ar-SA"/>
              </w:rPr>
              <w:t>号</w:t>
            </w:r>
          </w:p>
        </w:tc>
        <w:tc>
          <w:tcPr>
            <w:tcW w:w="2520" w:type="dxa"/>
            <w:gridSpan w:val="3"/>
            <w:noWrap w:val="0"/>
            <w:vAlign w:val="center"/>
          </w:tcPr>
          <w:p w14:paraId="7B9B47E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310D33E0">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2E89A6B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高级职称人员</w:t>
            </w:r>
          </w:p>
        </w:tc>
        <w:tc>
          <w:tcPr>
            <w:tcW w:w="1680" w:type="dxa"/>
            <w:gridSpan w:val="3"/>
            <w:noWrap w:val="0"/>
            <w:vAlign w:val="center"/>
          </w:tcPr>
          <w:p w14:paraId="7B0CEFD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08A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089CD7F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注册资金</w:t>
            </w:r>
          </w:p>
        </w:tc>
        <w:tc>
          <w:tcPr>
            <w:tcW w:w="2520" w:type="dxa"/>
            <w:gridSpan w:val="3"/>
            <w:noWrap w:val="0"/>
            <w:vAlign w:val="center"/>
          </w:tcPr>
          <w:p w14:paraId="4BFF0D2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40DAF143">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0B7B9E7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中级职称人员</w:t>
            </w:r>
          </w:p>
        </w:tc>
        <w:tc>
          <w:tcPr>
            <w:tcW w:w="1680" w:type="dxa"/>
            <w:gridSpan w:val="3"/>
            <w:noWrap w:val="0"/>
            <w:vAlign w:val="center"/>
          </w:tcPr>
          <w:p w14:paraId="0B8346D7">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1EB1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51A1020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开户银行</w:t>
            </w:r>
          </w:p>
        </w:tc>
        <w:tc>
          <w:tcPr>
            <w:tcW w:w="2520" w:type="dxa"/>
            <w:gridSpan w:val="3"/>
            <w:noWrap w:val="0"/>
            <w:vAlign w:val="center"/>
          </w:tcPr>
          <w:p w14:paraId="0B264D3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0884C8B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57FC071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初级职称人员</w:t>
            </w:r>
          </w:p>
        </w:tc>
        <w:tc>
          <w:tcPr>
            <w:tcW w:w="1680" w:type="dxa"/>
            <w:gridSpan w:val="3"/>
            <w:noWrap w:val="0"/>
            <w:vAlign w:val="center"/>
          </w:tcPr>
          <w:p w14:paraId="42EF18F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68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550D762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账号</w:t>
            </w:r>
          </w:p>
        </w:tc>
        <w:tc>
          <w:tcPr>
            <w:tcW w:w="2520" w:type="dxa"/>
            <w:gridSpan w:val="3"/>
            <w:noWrap w:val="0"/>
            <w:vAlign w:val="center"/>
          </w:tcPr>
          <w:p w14:paraId="71BAA78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47CE2CAD">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060CD00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技工</w:t>
            </w:r>
          </w:p>
        </w:tc>
        <w:tc>
          <w:tcPr>
            <w:tcW w:w="1680" w:type="dxa"/>
            <w:gridSpan w:val="3"/>
            <w:noWrap w:val="0"/>
            <w:vAlign w:val="center"/>
          </w:tcPr>
          <w:p w14:paraId="476C438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61ED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6AC55A7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经营范围</w:t>
            </w:r>
          </w:p>
        </w:tc>
        <w:tc>
          <w:tcPr>
            <w:tcW w:w="7560" w:type="dxa"/>
            <w:gridSpan w:val="11"/>
            <w:noWrap w:val="0"/>
            <w:vAlign w:val="center"/>
          </w:tcPr>
          <w:p w14:paraId="5343583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6D7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3437C845">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备注</w:t>
            </w:r>
          </w:p>
        </w:tc>
        <w:tc>
          <w:tcPr>
            <w:tcW w:w="7560" w:type="dxa"/>
            <w:gridSpan w:val="11"/>
            <w:noWrap w:val="0"/>
            <w:vAlign w:val="center"/>
          </w:tcPr>
          <w:p w14:paraId="64A92AC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bl>
    <w:p w14:paraId="1F7588E7">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供应商名称：XXX（盖单位公章）</w:t>
      </w:r>
    </w:p>
    <w:p w14:paraId="31813DA4">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法定代表人或授权代表（签字或盖章）：XXX</w:t>
      </w:r>
    </w:p>
    <w:p w14:paraId="24E44A5B">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日期：XXX年XXX月XXX日</w:t>
      </w:r>
      <w:r>
        <w:rPr>
          <w:rFonts w:hint="eastAsia" w:ascii="仿宋_GB2312" w:hAnsi="仿宋_GB2312" w:eastAsia="仿宋_GB2312" w:cs="仿宋_GB2312"/>
          <w:color w:val="auto"/>
          <w:spacing w:val="26"/>
          <w:sz w:val="28"/>
          <w:szCs w:val="28"/>
          <w:lang w:eastAsia="zh-CN"/>
        </w:rPr>
        <w:br w:type="page"/>
      </w:r>
    </w:p>
    <w:p w14:paraId="55AB5F4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三、谈判承诺函（实质性要求）</w:t>
      </w:r>
    </w:p>
    <w:p w14:paraId="6D637EB4">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center"/>
        <w:textAlignment w:val="baseline"/>
        <w:rPr>
          <w:rFonts w:hint="eastAsia" w:ascii="仿宋_GB2312" w:hAnsi="仿宋_GB2312" w:eastAsia="仿宋_GB2312" w:cs="仿宋_GB2312"/>
          <w:color w:val="auto"/>
          <w:spacing w:val="26"/>
          <w:sz w:val="28"/>
          <w:szCs w:val="28"/>
          <w:lang w:eastAsia="zh-CN"/>
        </w:rPr>
      </w:pPr>
    </w:p>
    <w:p w14:paraId="5C5BCF7C">
      <w:pPr>
        <w:keepNext w:val="0"/>
        <w:keepLines w:val="0"/>
        <w:pageBreakBefore w:val="0"/>
        <w:widowControl/>
        <w:kinsoku/>
        <w:wordWrap w:val="0"/>
        <w:overflowPunct/>
        <w:topLinePunct/>
        <w:autoSpaceDE/>
        <w:autoSpaceDN/>
        <w:bidi w:val="0"/>
        <w:adjustRightInd w:val="0"/>
        <w:snapToGrid w:val="0"/>
        <w:spacing w:line="300" w:lineRule="exact"/>
        <w:jc w:val="both"/>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南江县人民医院</w:t>
      </w:r>
      <w:r>
        <w:rPr>
          <w:rFonts w:hint="eastAsia" w:ascii="仿宋" w:hAnsi="仿宋" w:eastAsia="仿宋" w:cs="仿宋"/>
          <w:color w:val="auto"/>
          <w:spacing w:val="26"/>
          <w:sz w:val="28"/>
          <w:szCs w:val="28"/>
          <w:lang w:eastAsia="zh-CN"/>
        </w:rPr>
        <w:t>：</w:t>
      </w:r>
    </w:p>
    <w:p w14:paraId="2643795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我公司作为本次采购项目的供应商，根据谈判文件要求，现郑重承诺如下：</w:t>
      </w:r>
    </w:p>
    <w:p w14:paraId="085F08F2">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一、具备《中华人民共和国政府采购法》第二十二条第一款和本项目规定的条件：</w:t>
      </w:r>
    </w:p>
    <w:p w14:paraId="51F2B13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（一）具有独立承担民事责任的能力；</w:t>
      </w:r>
    </w:p>
    <w:p w14:paraId="019E8B1E">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（二）具有良好的商业信誉和健全的财务会计制度；</w:t>
      </w:r>
    </w:p>
    <w:p w14:paraId="0CE78470">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（三）具有履行合同所必需的设备和专业技术能力；</w:t>
      </w:r>
    </w:p>
    <w:p w14:paraId="15543D3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（四）有依法缴纳税收和社会保障资金的良好记录；</w:t>
      </w:r>
    </w:p>
    <w:p w14:paraId="7CEDDDDE">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（五）参加政府采购活动前三年内，在经营活动中没有重大违法记录；</w:t>
      </w:r>
    </w:p>
    <w:p w14:paraId="2F8EA32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（六）法律、行政法规规定的其他条件；</w:t>
      </w:r>
    </w:p>
    <w:p w14:paraId="4CEA74D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（七）根据采购项目提出的特殊条件。</w:t>
      </w:r>
    </w:p>
    <w:p w14:paraId="0639F69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14:paraId="3409DC6C">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三、在参加本次采购活动中，不存在与单位负责人为同一人或者存在直接控股、管理关系的其他供应商参与同一合同项下的政府采购活动的行为。</w:t>
      </w:r>
    </w:p>
    <w:p w14:paraId="73C15D07">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四、在参加本次采购活动中，不存在和其他供应商在同一合同项下的采购项目中，同时委托同一个自然人、同一家庭的人员、同一单位的人员作为代理人的行为。</w:t>
      </w:r>
    </w:p>
    <w:p w14:paraId="0083225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五、如果有《关于对政府采购领域严重违法失信主体开展联合惩戒的合作备忘录》（发改财金〔2018〕1614号）规定的记入诚信档案的失信行为，将在响应文件中全面如实反映。</w:t>
      </w:r>
    </w:p>
    <w:p w14:paraId="0CEAE7AD">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六、响应文件中提供的任何资料和技术、服务、商务等响应承诺情况都是真实的、有效的、合法的。</w:t>
      </w:r>
    </w:p>
    <w:p w14:paraId="45EF837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本公司对上述承诺的内容事项真实性负责。如经查实上述承诺的内容事项存在虚假，我公司愿意承担以提供虚假材料谋取成交的法律责任。</w:t>
      </w:r>
    </w:p>
    <w:p w14:paraId="2D2555C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p>
    <w:p w14:paraId="1FDDE82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p>
    <w:p w14:paraId="79CDC25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法定代表人（签字或盖章）：XXXX</w:t>
      </w:r>
    </w:p>
    <w:p w14:paraId="6C1EA1D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授权代表签字：XXXX</w:t>
      </w:r>
    </w:p>
    <w:p w14:paraId="5DC2BBE0">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供应商名称：XXXX（盖章）</w:t>
      </w:r>
    </w:p>
    <w:p w14:paraId="47287AC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02D03C63">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0C6A028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四、本次政府采购活动前三年内，在经营活动中无不良行为记录及重大违法记录承诺书</w:t>
      </w:r>
    </w:p>
    <w:p w14:paraId="66A27FA6">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31CA5DA6">
      <w:pPr>
        <w:keepNext w:val="0"/>
        <w:keepLines w:val="0"/>
        <w:pageBreakBefore w:val="0"/>
        <w:widowControl/>
        <w:kinsoku/>
        <w:wordWrap w:val="0"/>
        <w:overflowPunct/>
        <w:topLinePunct/>
        <w:autoSpaceDE/>
        <w:autoSpaceDN/>
        <w:bidi w:val="0"/>
        <w:adjustRightInd w:val="0"/>
        <w:snapToGrid w:val="0"/>
        <w:spacing w:line="440" w:lineRule="exact"/>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南江县人民医院</w:t>
      </w:r>
      <w:r>
        <w:rPr>
          <w:rFonts w:hint="eastAsia" w:ascii="仿宋" w:hAnsi="仿宋" w:eastAsia="仿宋" w:cs="仿宋"/>
          <w:color w:val="auto"/>
          <w:spacing w:val="26"/>
          <w:sz w:val="28"/>
          <w:szCs w:val="28"/>
          <w:lang w:eastAsia="zh-CN"/>
        </w:rPr>
        <w:t>：</w:t>
      </w:r>
    </w:p>
    <w:p w14:paraId="24960DC1">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我公司承诺，在参加本项目（采购项目名称：采购项目编号：）投标前三年内，在政府采购及招投标活动中无不良行为记录，在经营活动中无重大违法违规记录。若我公司虚假承诺，将自行承担由此带来的一切后果（如取消成交资格、法定时间内禁止参与政府采购投标等）。</w:t>
      </w:r>
    </w:p>
    <w:p w14:paraId="22724F81">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0EE0DDE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0CD3DAA6">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65AFE36E">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16FF336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13E25FF9">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5511D34F">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26190D26">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1C50383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法定代表人或授权代表（签字或盖章）：XXX</w:t>
      </w:r>
    </w:p>
    <w:p w14:paraId="56F8FE0E">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46B3F0C4">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2E2D4EC2">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五、供应商和报价产品其他资格、资质性及其他类似效力要求的相关证明材料</w:t>
      </w:r>
    </w:p>
    <w:p w14:paraId="6B064733">
      <w:pPr>
        <w:keepNext w:val="0"/>
        <w:keepLines w:val="0"/>
        <w:pageBreakBefore w:val="0"/>
        <w:widowControl/>
        <w:kinsoku/>
        <w:wordWrap w:val="0"/>
        <w:overflowPunct/>
        <w:topLinePunct/>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pacing w:val="26"/>
          <w:sz w:val="28"/>
          <w:szCs w:val="28"/>
          <w:lang w:eastAsia="zh-CN"/>
        </w:rPr>
      </w:pPr>
    </w:p>
    <w:p w14:paraId="37D7FCAC">
      <w:pPr>
        <w:keepNext w:val="0"/>
        <w:keepLines w:val="0"/>
        <w:pageBreakBefore w:val="0"/>
        <w:widowControl/>
        <w:kinsoku/>
        <w:wordWrap w:val="0"/>
        <w:overflowPunct/>
        <w:topLinePunct/>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pacing w:val="26"/>
          <w:sz w:val="28"/>
          <w:szCs w:val="28"/>
          <w:lang w:eastAsia="zh-CN"/>
        </w:rPr>
      </w:pPr>
    </w:p>
    <w:p w14:paraId="3E124F3C">
      <w:pPr>
        <w:keepNext w:val="0"/>
        <w:keepLines w:val="0"/>
        <w:pageBreakBefore w:val="0"/>
        <w:widowControl/>
        <w:kinsoku/>
        <w:wordWrap w:val="0"/>
        <w:overflowPunct/>
        <w:topLinePunct/>
        <w:autoSpaceDE/>
        <w:autoSpaceDN/>
        <w:bidi w:val="0"/>
        <w:adjustRightInd w:val="0"/>
        <w:snapToGrid w:val="0"/>
        <w:spacing w:line="560" w:lineRule="exact"/>
        <w:ind w:firstLine="664" w:firstLineChars="200"/>
        <w:jc w:val="left"/>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注：供应商应按谈判文件第</w:t>
      </w:r>
      <w:r>
        <w:rPr>
          <w:rFonts w:hint="eastAsia" w:ascii="仿宋_GB2312" w:hAnsi="仿宋_GB2312" w:eastAsia="仿宋_GB2312" w:cs="仿宋_GB2312"/>
          <w:color w:val="auto"/>
          <w:spacing w:val="26"/>
          <w:sz w:val="28"/>
          <w:szCs w:val="28"/>
          <w:lang w:val="en-US" w:eastAsia="zh-CN"/>
        </w:rPr>
        <w:t>一</w:t>
      </w:r>
      <w:r>
        <w:rPr>
          <w:rFonts w:hint="eastAsia" w:ascii="仿宋_GB2312" w:hAnsi="仿宋_GB2312" w:eastAsia="仿宋_GB2312" w:cs="仿宋_GB2312"/>
          <w:color w:val="auto"/>
          <w:spacing w:val="26"/>
          <w:sz w:val="28"/>
          <w:szCs w:val="28"/>
          <w:lang w:eastAsia="zh-CN"/>
        </w:rPr>
        <w:t>章</w:t>
      </w:r>
      <w:r>
        <w:rPr>
          <w:rFonts w:hint="eastAsia" w:ascii="仿宋_GB2312" w:hAnsi="仿宋_GB2312" w:eastAsia="仿宋_GB2312" w:cs="仿宋_GB2312"/>
          <w:color w:val="auto"/>
          <w:spacing w:val="26"/>
          <w:sz w:val="28"/>
          <w:szCs w:val="28"/>
          <w:lang w:val="en-US" w:eastAsia="zh-CN"/>
        </w:rPr>
        <w:t>第六项“供应商应当提供的资格证明材料”的相关</w:t>
      </w:r>
      <w:r>
        <w:rPr>
          <w:rFonts w:hint="eastAsia" w:ascii="仿宋_GB2312" w:hAnsi="仿宋_GB2312" w:eastAsia="仿宋_GB2312" w:cs="仿宋_GB2312"/>
          <w:color w:val="auto"/>
          <w:spacing w:val="26"/>
          <w:sz w:val="28"/>
          <w:szCs w:val="28"/>
          <w:lang w:eastAsia="zh-CN"/>
        </w:rPr>
        <w:t>要求提供佐证材料，有格式要求的从其要求，无格式要求的可自拟。</w:t>
      </w:r>
    </w:p>
    <w:p w14:paraId="5B848763">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6756FB08">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方正小标宋简体" w:hAnsi="方正小标宋简体" w:eastAsia="方正小标宋简体" w:cs="方正小标宋简体"/>
          <w:color w:val="auto"/>
          <w:spacing w:val="26"/>
          <w:sz w:val="44"/>
          <w:szCs w:val="44"/>
          <w:lang w:eastAsia="zh-CN"/>
        </w:rPr>
      </w:pPr>
      <w:r>
        <w:rPr>
          <w:rFonts w:hint="eastAsia" w:ascii="方正小标宋简体" w:hAnsi="方正小标宋简体" w:eastAsia="方正小标宋简体" w:cs="方正小标宋简体"/>
          <w:color w:val="auto"/>
          <w:spacing w:val="26"/>
          <w:sz w:val="44"/>
          <w:szCs w:val="44"/>
          <w:lang w:eastAsia="zh-CN"/>
        </w:rPr>
        <w:t>第二部分“其他响应文件”格式</w:t>
      </w:r>
    </w:p>
    <w:p w14:paraId="1F8D4736">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28"/>
          <w:szCs w:val="28"/>
          <w:lang w:eastAsia="zh-CN" w:bidi="ar-SA"/>
        </w:rPr>
      </w:pPr>
      <w:r>
        <w:rPr>
          <w:rFonts w:hint="eastAsia" w:ascii="宋体" w:hAnsi="宋体" w:eastAsia="宋体" w:cs="宋体"/>
          <w:b/>
          <w:snapToGrid/>
          <w:color w:val="auto"/>
          <w:kern w:val="2"/>
          <w:sz w:val="28"/>
          <w:szCs w:val="28"/>
          <w:lang w:eastAsia="zh-CN" w:bidi="ar-SA"/>
        </w:rPr>
        <w:t>格式2-1</w:t>
      </w:r>
    </w:p>
    <w:p w14:paraId="1ACED653">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2"/>
          <w:szCs w:val="32"/>
          <w:lang w:eastAsia="zh-CN" w:bidi="ar-SA"/>
        </w:rPr>
      </w:pPr>
      <w:r>
        <w:rPr>
          <w:rFonts w:hint="eastAsia" w:ascii="宋体" w:hAnsi="宋体" w:eastAsia="宋体" w:cs="宋体"/>
          <w:b/>
          <w:snapToGrid/>
          <w:color w:val="auto"/>
          <w:kern w:val="2"/>
          <w:sz w:val="32"/>
          <w:szCs w:val="32"/>
          <w:lang w:eastAsia="zh-CN" w:bidi="ar-SA"/>
        </w:rPr>
        <w:t>封面：</w:t>
      </w:r>
    </w:p>
    <w:p w14:paraId="7E66D19A">
      <w:pPr>
        <w:widowControl w:val="0"/>
        <w:kinsoku/>
        <w:autoSpaceDE/>
        <w:autoSpaceDN/>
        <w:adjustRightInd/>
        <w:snapToGrid/>
        <w:spacing w:line="360" w:lineRule="auto"/>
        <w:jc w:val="right"/>
        <w:textAlignment w:val="auto"/>
        <w:rPr>
          <w:rFonts w:hint="eastAsia" w:ascii="宋体" w:hAnsi="宋体" w:eastAsia="宋体" w:cs="宋体"/>
          <w:b/>
          <w:snapToGrid/>
          <w:color w:val="auto"/>
          <w:kern w:val="2"/>
          <w:sz w:val="36"/>
          <w:szCs w:val="24"/>
          <w:lang w:eastAsia="zh-CN" w:bidi="ar-SA"/>
        </w:rPr>
      </w:pPr>
      <w:r>
        <w:rPr>
          <w:rFonts w:hint="eastAsia" w:ascii="宋体" w:hAnsi="宋体" w:eastAsia="宋体" w:cs="宋体"/>
          <w:b/>
          <w:snapToGrid/>
          <w:color w:val="auto"/>
          <w:kern w:val="2"/>
          <w:sz w:val="36"/>
          <w:szCs w:val="24"/>
          <w:lang w:eastAsia="zh-CN" w:bidi="ar-SA"/>
        </w:rPr>
        <w:t>（正本/副本）</w:t>
      </w:r>
    </w:p>
    <w:p w14:paraId="51584368">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2"/>
          <w:szCs w:val="32"/>
          <w:lang w:eastAsia="zh-CN" w:bidi="ar-SA"/>
        </w:rPr>
      </w:pPr>
    </w:p>
    <w:p w14:paraId="6BE584BD">
      <w:pPr>
        <w:widowControl w:val="0"/>
        <w:kinsoku/>
        <w:autoSpaceDE/>
        <w:autoSpaceDN/>
        <w:adjustRightInd/>
        <w:snapToGrid/>
        <w:spacing w:line="360" w:lineRule="auto"/>
        <w:jc w:val="center"/>
        <w:textAlignment w:val="auto"/>
        <w:rPr>
          <w:rFonts w:hint="eastAsia" w:ascii="宋体" w:hAnsi="宋体" w:eastAsia="宋体" w:cs="宋体"/>
          <w:b/>
          <w:snapToGrid/>
          <w:color w:val="auto"/>
          <w:kern w:val="2"/>
          <w:sz w:val="72"/>
          <w:szCs w:val="24"/>
          <w:lang w:eastAsia="zh-CN" w:bidi="ar-SA"/>
        </w:rPr>
      </w:pPr>
      <w:r>
        <w:rPr>
          <w:rFonts w:hint="eastAsia" w:ascii="宋体" w:hAnsi="宋体" w:eastAsia="宋体" w:cs="宋体"/>
          <w:b/>
          <w:snapToGrid/>
          <w:color w:val="auto"/>
          <w:kern w:val="2"/>
          <w:sz w:val="40"/>
          <w:szCs w:val="48"/>
          <w:lang w:eastAsia="zh-CN" w:bidi="ar-SA"/>
        </w:rPr>
        <w:t>XX项目</w:t>
      </w:r>
    </w:p>
    <w:p w14:paraId="4E6D5EB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52"/>
          <w:szCs w:val="52"/>
          <w:lang w:eastAsia="zh-CN" w:bidi="ar-SA"/>
        </w:rPr>
      </w:pPr>
    </w:p>
    <w:p w14:paraId="3D1D33EF">
      <w:pPr>
        <w:widowControl w:val="0"/>
        <w:kinsoku/>
        <w:autoSpaceDE/>
        <w:autoSpaceDN/>
        <w:adjustRightInd/>
        <w:snapToGrid/>
        <w:spacing w:line="360" w:lineRule="auto"/>
        <w:jc w:val="center"/>
        <w:textAlignment w:val="auto"/>
        <w:rPr>
          <w:rFonts w:hint="eastAsia" w:ascii="宋体" w:hAnsi="宋体" w:eastAsia="宋体" w:cs="宋体"/>
          <w:b/>
          <w:snapToGrid/>
          <w:color w:val="auto"/>
          <w:kern w:val="2"/>
          <w:sz w:val="32"/>
          <w:szCs w:val="32"/>
          <w:lang w:eastAsia="zh-CN" w:bidi="ar-SA"/>
        </w:rPr>
      </w:pPr>
      <w:r>
        <w:rPr>
          <w:rFonts w:hint="eastAsia" w:ascii="宋体" w:hAnsi="宋体" w:eastAsia="宋体" w:cs="宋体"/>
          <w:b/>
          <w:snapToGrid/>
          <w:color w:val="auto"/>
          <w:kern w:val="2"/>
          <w:sz w:val="52"/>
          <w:szCs w:val="52"/>
          <w:lang w:eastAsia="zh-CN" w:bidi="ar-SA"/>
        </w:rPr>
        <w:t>其他响应文件</w:t>
      </w:r>
    </w:p>
    <w:p w14:paraId="21BE43B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6"/>
          <w:szCs w:val="24"/>
          <w:lang w:eastAsia="zh-CN" w:bidi="ar-SA"/>
        </w:rPr>
      </w:pPr>
    </w:p>
    <w:p w14:paraId="0AA1CA0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6"/>
          <w:szCs w:val="24"/>
          <w:lang w:eastAsia="zh-CN" w:bidi="ar-SA"/>
        </w:rPr>
      </w:pPr>
    </w:p>
    <w:p w14:paraId="58FA4F9F">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u w:val="single"/>
          <w:lang w:eastAsia="zh-CN" w:bidi="ar-SA"/>
        </w:rPr>
      </w:pPr>
      <w:r>
        <w:rPr>
          <w:rFonts w:hint="eastAsia" w:ascii="宋体" w:hAnsi="宋体" w:eastAsia="宋体" w:cs="宋体"/>
          <w:b/>
          <w:snapToGrid/>
          <w:color w:val="auto"/>
          <w:kern w:val="2"/>
          <w:sz w:val="32"/>
          <w:szCs w:val="24"/>
          <w:lang w:eastAsia="zh-CN" w:bidi="ar-SA"/>
        </w:rPr>
        <w:t>供应商名称：</w:t>
      </w:r>
    </w:p>
    <w:p w14:paraId="49CDF010">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u w:val="single"/>
          <w:lang w:eastAsia="zh-CN" w:bidi="ar-SA"/>
        </w:rPr>
      </w:pPr>
      <w:r>
        <w:rPr>
          <w:rFonts w:hint="eastAsia" w:ascii="宋体" w:hAnsi="宋体" w:eastAsia="宋体" w:cs="宋体"/>
          <w:b/>
          <w:snapToGrid/>
          <w:color w:val="auto"/>
          <w:kern w:val="2"/>
          <w:sz w:val="32"/>
          <w:szCs w:val="24"/>
          <w:lang w:eastAsia="zh-CN" w:bidi="ar-SA"/>
        </w:rPr>
        <w:t>采购项目编号：</w:t>
      </w:r>
    </w:p>
    <w:p w14:paraId="733C0141">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lang w:eastAsia="zh-CN" w:bidi="ar-SA"/>
        </w:rPr>
      </w:pPr>
      <w:r>
        <w:rPr>
          <w:rFonts w:hint="eastAsia" w:ascii="宋体" w:hAnsi="宋体" w:eastAsia="宋体" w:cs="宋体"/>
          <w:b/>
          <w:snapToGrid/>
          <w:color w:val="auto"/>
          <w:kern w:val="2"/>
          <w:sz w:val="32"/>
          <w:szCs w:val="24"/>
          <w:lang w:eastAsia="zh-CN" w:bidi="ar-SA"/>
        </w:rPr>
        <w:t>法定代表人或委托代理人签字：</w:t>
      </w:r>
    </w:p>
    <w:p w14:paraId="209D6493">
      <w:pPr>
        <w:widowControl w:val="0"/>
        <w:kinsoku/>
        <w:autoSpaceDE/>
        <w:autoSpaceDN/>
        <w:adjustRightInd/>
        <w:snapToGrid/>
        <w:spacing w:line="360" w:lineRule="auto"/>
        <w:ind w:firstLine="790" w:firstLineChars="246"/>
        <w:jc w:val="center"/>
        <w:textAlignment w:val="auto"/>
        <w:rPr>
          <w:rFonts w:hint="eastAsia" w:ascii="宋体" w:hAnsi="宋体" w:eastAsia="宋体" w:cs="宋体"/>
          <w:b/>
          <w:snapToGrid/>
          <w:color w:val="auto"/>
          <w:kern w:val="2"/>
          <w:sz w:val="32"/>
          <w:szCs w:val="24"/>
          <w:lang w:eastAsia="zh-CN" w:bidi="ar-SA"/>
        </w:rPr>
      </w:pPr>
    </w:p>
    <w:p w14:paraId="715AF1E4">
      <w:pPr>
        <w:widowControl w:val="0"/>
        <w:kinsoku/>
        <w:autoSpaceDE/>
        <w:autoSpaceDN/>
        <w:adjustRightInd/>
        <w:snapToGrid/>
        <w:spacing w:line="360" w:lineRule="auto"/>
        <w:ind w:firstLine="790" w:firstLineChars="246"/>
        <w:jc w:val="center"/>
        <w:textAlignment w:val="auto"/>
        <w:rPr>
          <w:rFonts w:hint="eastAsia" w:ascii="宋体" w:hAnsi="宋体" w:eastAsia="宋体" w:cs="宋体"/>
          <w:b/>
          <w:snapToGrid/>
          <w:color w:val="auto"/>
          <w:kern w:val="2"/>
          <w:sz w:val="32"/>
          <w:szCs w:val="24"/>
          <w:lang w:eastAsia="zh-CN" w:bidi="ar-SA"/>
        </w:rPr>
      </w:pPr>
      <w:r>
        <w:rPr>
          <w:rFonts w:hint="eastAsia" w:ascii="宋体" w:hAnsi="宋体" w:eastAsia="宋体" w:cs="宋体"/>
          <w:b/>
          <w:snapToGrid/>
          <w:color w:val="auto"/>
          <w:kern w:val="2"/>
          <w:sz w:val="32"/>
          <w:szCs w:val="24"/>
          <w:lang w:eastAsia="zh-CN" w:bidi="ar-SA"/>
        </w:rPr>
        <w:t>XXXX年XX月XX日</w:t>
      </w:r>
    </w:p>
    <w:p w14:paraId="0644A541">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4CDF7C58">
      <w:pPr>
        <w:widowControl w:val="0"/>
        <w:spacing w:after="120"/>
        <w:jc w:val="both"/>
        <w:rPr>
          <w:rFonts w:hint="eastAsia" w:ascii="宋体" w:hAnsi="宋体" w:eastAsia="宋体" w:cs="宋体"/>
          <w:color w:val="auto"/>
          <w:kern w:val="2"/>
          <w:sz w:val="21"/>
          <w:szCs w:val="24"/>
          <w:lang w:val="en-US" w:eastAsia="zh-CN" w:bidi="ar-SA"/>
        </w:rPr>
      </w:pPr>
    </w:p>
    <w:p w14:paraId="40B55BBB">
      <w:pPr>
        <w:pStyle w:val="6"/>
        <w:kinsoku/>
        <w:autoSpaceDE/>
        <w:autoSpaceDN/>
        <w:adjustRightInd/>
        <w:snapToGrid/>
        <w:spacing w:line="240" w:lineRule="auto"/>
        <w:rPr>
          <w:rFonts w:hint="eastAsia" w:ascii="宋体" w:hAnsi="宋体" w:eastAsia="宋体" w:cs="宋体"/>
          <w:snapToGrid/>
          <w:color w:val="auto"/>
          <w:lang w:bidi="ar-SA"/>
        </w:rPr>
      </w:pPr>
    </w:p>
    <w:p w14:paraId="3FE3C75E">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6ED47B13">
      <w:pPr>
        <w:widowControl w:val="0"/>
        <w:spacing w:after="120"/>
        <w:jc w:val="both"/>
        <w:rPr>
          <w:rFonts w:hint="eastAsia" w:ascii="宋体" w:hAnsi="宋体" w:eastAsia="宋体" w:cs="宋体"/>
          <w:color w:val="auto"/>
          <w:kern w:val="2"/>
          <w:sz w:val="21"/>
          <w:szCs w:val="24"/>
          <w:lang w:val="en-US" w:eastAsia="zh-CN" w:bidi="ar-SA"/>
        </w:rPr>
      </w:pPr>
    </w:p>
    <w:p w14:paraId="3336179D">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宋体" w:hAnsi="宋体" w:eastAsia="宋体" w:cs="宋体"/>
          <w:b/>
          <w:snapToGrid/>
          <w:color w:val="auto"/>
          <w:kern w:val="2"/>
          <w:sz w:val="32"/>
          <w:szCs w:val="32"/>
          <w:lang w:eastAsia="zh-CN" w:bidi="ar-SA"/>
        </w:rPr>
        <w:br w:type="page"/>
      </w:r>
      <w:r>
        <w:rPr>
          <w:rFonts w:hint="eastAsia" w:ascii="黑体" w:hAnsi="黑体" w:eastAsia="黑体" w:cs="黑体"/>
          <w:color w:val="auto"/>
          <w:spacing w:val="26"/>
          <w:sz w:val="32"/>
          <w:szCs w:val="32"/>
          <w:lang w:eastAsia="zh-CN"/>
        </w:rPr>
        <w:t>一、报价函</w:t>
      </w:r>
    </w:p>
    <w:p w14:paraId="0E26EC1A">
      <w:pPr>
        <w:widowControl w:val="0"/>
        <w:kinsoku/>
        <w:autoSpaceDE/>
        <w:autoSpaceDN/>
        <w:adjustRightInd/>
        <w:snapToGrid/>
        <w:spacing w:line="360" w:lineRule="auto"/>
        <w:jc w:val="both"/>
        <w:textAlignment w:val="auto"/>
        <w:rPr>
          <w:rFonts w:hint="eastAsia" w:ascii="宋体" w:hAnsi="宋体" w:eastAsia="宋体" w:cs="宋体"/>
          <w:snapToGrid/>
          <w:color w:val="auto"/>
          <w:kern w:val="2"/>
          <w:sz w:val="24"/>
          <w:szCs w:val="24"/>
          <w:lang w:eastAsia="zh-CN" w:bidi="ar-SA"/>
        </w:rPr>
      </w:pPr>
    </w:p>
    <w:p w14:paraId="140A78C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val="en-US" w:eastAsia="zh-CN" w:bidi="ar-SA"/>
        </w:rPr>
        <w:t>南江县人民医院</w:t>
      </w:r>
      <w:r>
        <w:rPr>
          <w:rFonts w:hint="eastAsia" w:ascii="仿宋" w:hAnsi="仿宋" w:eastAsia="仿宋" w:cs="仿宋"/>
          <w:snapToGrid/>
          <w:color w:val="auto"/>
          <w:kern w:val="2"/>
          <w:sz w:val="28"/>
          <w:szCs w:val="28"/>
          <w:lang w:eastAsia="zh-CN" w:bidi="ar-SA"/>
        </w:rPr>
        <w:t>：</w:t>
      </w:r>
    </w:p>
    <w:p w14:paraId="285E244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1.我方全面研究了“XXXXXX”项目谈判文件（项目编号：XXXX），决定参加贵单位组织的本项目谈判采购。</w:t>
      </w:r>
    </w:p>
    <w:p w14:paraId="52D17D2E">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2.我方自愿按照谈判文件规定的各项要求向采购人提供所需服务，总报价为人民币XX万元（大写：XXXX）。</w:t>
      </w:r>
    </w:p>
    <w:p w14:paraId="3A7A02C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3.一旦我方成交，我方将严格履行政府采购合同规定的责任和义务。</w:t>
      </w:r>
    </w:p>
    <w:p w14:paraId="65ACD74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4.我方同意本谈判文件依据《关于对政府采购领域严重违法失信主体开展联合惩戒的合作备忘录》（发改财金〔2018〕1614号）对我方可能存在的失信行为进行惩戒。</w:t>
      </w:r>
    </w:p>
    <w:p w14:paraId="3878D3B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5.我方为本项目提交的响应文件正本X</w:t>
      </w:r>
      <w:r>
        <w:rPr>
          <w:rFonts w:hint="eastAsia" w:ascii="仿宋" w:hAnsi="仿宋" w:eastAsia="仿宋" w:cs="仿宋"/>
          <w:snapToGrid/>
          <w:color w:val="auto"/>
          <w:kern w:val="2"/>
          <w:sz w:val="28"/>
          <w:szCs w:val="28"/>
          <w:lang w:val="en-US" w:eastAsia="zh-CN" w:bidi="ar-SA"/>
        </w:rPr>
        <w:t>X</w:t>
      </w:r>
      <w:r>
        <w:rPr>
          <w:rFonts w:hint="eastAsia" w:ascii="仿宋" w:hAnsi="仿宋" w:eastAsia="仿宋" w:cs="仿宋"/>
          <w:snapToGrid/>
          <w:color w:val="auto"/>
          <w:kern w:val="2"/>
          <w:sz w:val="28"/>
          <w:szCs w:val="28"/>
          <w:lang w:eastAsia="zh-CN" w:bidi="ar-SA"/>
        </w:rPr>
        <w:t>份，副本XX份</w:t>
      </w:r>
      <w:r>
        <w:rPr>
          <w:rFonts w:hint="eastAsia" w:ascii="仿宋" w:hAnsi="仿宋" w:eastAsia="仿宋" w:cs="仿宋"/>
          <w:snapToGrid/>
          <w:color w:val="auto"/>
          <w:kern w:val="2"/>
          <w:sz w:val="28"/>
          <w:szCs w:val="28"/>
          <w:lang w:val="en-US" w:eastAsia="zh-CN" w:bidi="ar-SA"/>
        </w:rPr>
        <w:t>，</w:t>
      </w:r>
      <w:r>
        <w:rPr>
          <w:rFonts w:hint="eastAsia" w:ascii="仿宋" w:hAnsi="仿宋" w:eastAsia="仿宋" w:cs="仿宋"/>
          <w:snapToGrid/>
          <w:color w:val="auto"/>
          <w:kern w:val="2"/>
          <w:sz w:val="28"/>
          <w:szCs w:val="28"/>
          <w:lang w:eastAsia="zh-CN" w:bidi="ar-SA"/>
        </w:rPr>
        <w:t>用于谈判报价。</w:t>
      </w:r>
    </w:p>
    <w:p w14:paraId="35E87F9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6.我方愿意提供贵单位可能另外要求的，与谈判报价有关的文件资料，并保证我方已提供和将要提供的文件资料是真实、准确的。</w:t>
      </w:r>
    </w:p>
    <w:p w14:paraId="04D0447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7.本次谈判，我方递交的响应文件有效期为采购文件规定之日起</w:t>
      </w:r>
      <w:r>
        <w:rPr>
          <w:rFonts w:hint="eastAsia" w:ascii="仿宋" w:hAnsi="仿宋" w:eastAsia="仿宋" w:cs="仿宋"/>
          <w:snapToGrid/>
          <w:color w:val="auto"/>
          <w:kern w:val="2"/>
          <w:sz w:val="28"/>
          <w:szCs w:val="28"/>
          <w:lang w:val="en-US" w:eastAsia="zh-CN" w:bidi="ar-SA"/>
        </w:rPr>
        <w:t>90</w:t>
      </w:r>
      <w:r>
        <w:rPr>
          <w:rFonts w:hint="eastAsia" w:ascii="仿宋" w:hAnsi="仿宋" w:eastAsia="仿宋" w:cs="仿宋"/>
          <w:snapToGrid/>
          <w:color w:val="auto"/>
          <w:kern w:val="2"/>
          <w:sz w:val="28"/>
          <w:szCs w:val="28"/>
          <w:lang w:eastAsia="zh-CN" w:bidi="ar-SA"/>
        </w:rPr>
        <w:t>天。</w:t>
      </w:r>
    </w:p>
    <w:p w14:paraId="65E4B62B">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1870B1F1">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w:t>
      </w:r>
      <w:r>
        <w:rPr>
          <w:rFonts w:hint="eastAsia" w:ascii="仿宋" w:hAnsi="仿宋" w:eastAsia="仿宋" w:cs="仿宋"/>
          <w:snapToGrid/>
          <w:color w:val="auto"/>
          <w:kern w:val="2"/>
          <w:sz w:val="28"/>
          <w:szCs w:val="28"/>
          <w:u w:val="single"/>
          <w:lang w:eastAsia="zh-CN" w:bidi="ar-SA"/>
        </w:rPr>
        <w:t>XXX</w:t>
      </w:r>
      <w:r>
        <w:rPr>
          <w:rFonts w:hint="eastAsia" w:ascii="仿宋" w:hAnsi="仿宋" w:eastAsia="仿宋" w:cs="仿宋"/>
          <w:snapToGrid/>
          <w:color w:val="auto"/>
          <w:kern w:val="2"/>
          <w:sz w:val="28"/>
          <w:szCs w:val="28"/>
          <w:lang w:eastAsia="zh-CN" w:bidi="ar-SA"/>
        </w:rPr>
        <w:t>（盖单位公章）</w:t>
      </w:r>
    </w:p>
    <w:p w14:paraId="52A9140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法定代表人或授权代表（签字或盖章）：XXX</w:t>
      </w:r>
    </w:p>
    <w:p w14:paraId="4E22AB6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通讯地址：XXX</w:t>
      </w:r>
    </w:p>
    <w:p w14:paraId="78A9C77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邮政编码：XXX</w:t>
      </w:r>
    </w:p>
    <w:p w14:paraId="0DD9DF6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联系电话：XXX</w:t>
      </w:r>
    </w:p>
    <w:p w14:paraId="5C7187C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传真：XXX</w:t>
      </w:r>
    </w:p>
    <w:p w14:paraId="0FB22EA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日期：XXX年XXX月XXX日</w:t>
      </w:r>
    </w:p>
    <w:p w14:paraId="066459CD">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06FBA9E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宋体" w:hAnsi="宋体" w:eastAsia="宋体" w:cs="宋体"/>
          <w:b/>
          <w:snapToGrid/>
          <w:color w:val="auto"/>
          <w:kern w:val="2"/>
          <w:sz w:val="32"/>
          <w:szCs w:val="32"/>
          <w:lang w:val="en-US" w:eastAsia="zh-CN" w:bidi="ar-SA"/>
        </w:rPr>
        <w:br w:type="page"/>
      </w:r>
      <w:r>
        <w:rPr>
          <w:rFonts w:hint="eastAsia" w:ascii="黑体" w:hAnsi="黑体" w:eastAsia="黑体" w:cs="黑体"/>
          <w:color w:val="auto"/>
          <w:spacing w:val="26"/>
          <w:sz w:val="32"/>
          <w:szCs w:val="32"/>
          <w:lang w:val="en-US" w:eastAsia="zh-CN"/>
        </w:rPr>
        <w:t>二</w:t>
      </w:r>
      <w:r>
        <w:rPr>
          <w:rFonts w:hint="eastAsia" w:ascii="黑体" w:hAnsi="黑体" w:eastAsia="黑体" w:cs="黑体"/>
          <w:color w:val="auto"/>
          <w:spacing w:val="26"/>
          <w:sz w:val="32"/>
          <w:szCs w:val="32"/>
          <w:lang w:eastAsia="zh-CN"/>
        </w:rPr>
        <w:t>、报价表</w:t>
      </w:r>
    </w:p>
    <w:p w14:paraId="782C970E">
      <w:pPr>
        <w:widowControl w:val="0"/>
        <w:kinsoku/>
        <w:autoSpaceDE/>
        <w:autoSpaceDN/>
        <w:adjustRightInd/>
        <w:snapToGrid/>
        <w:spacing w:line="240" w:lineRule="auto"/>
        <w:jc w:val="left"/>
        <w:textAlignment w:val="auto"/>
        <w:rPr>
          <w:rFonts w:hint="eastAsia" w:ascii="宋体" w:hAnsi="宋体" w:eastAsia="宋体" w:cs="宋体"/>
          <w:snapToGrid/>
          <w:color w:val="auto"/>
          <w:kern w:val="2"/>
          <w:sz w:val="24"/>
          <w:szCs w:val="24"/>
          <w:lang w:eastAsia="zh-CN" w:bidi="ar-SA"/>
        </w:rPr>
      </w:pPr>
    </w:p>
    <w:tbl>
      <w:tblPr>
        <w:tblStyle w:val="11"/>
        <w:tblW w:w="92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3033"/>
        <w:gridCol w:w="1282"/>
        <w:gridCol w:w="1316"/>
        <w:gridCol w:w="1319"/>
        <w:gridCol w:w="1319"/>
      </w:tblGrid>
      <w:tr w14:paraId="35B4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8" w:hRule="atLeast"/>
        </w:trPr>
        <w:tc>
          <w:tcPr>
            <w:tcW w:w="948" w:type="dxa"/>
            <w:noWrap w:val="0"/>
            <w:vAlign w:val="center"/>
          </w:tcPr>
          <w:p w14:paraId="4B840EBC">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序号</w:t>
            </w:r>
          </w:p>
        </w:tc>
        <w:tc>
          <w:tcPr>
            <w:tcW w:w="3033" w:type="dxa"/>
            <w:noWrap w:val="0"/>
            <w:vAlign w:val="center"/>
          </w:tcPr>
          <w:p w14:paraId="4329C941">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val="en-US" w:eastAsia="zh-CN"/>
              </w:rPr>
              <w:t>标的</w:t>
            </w:r>
            <w:r>
              <w:rPr>
                <w:rFonts w:hint="eastAsia" w:ascii="仿宋" w:hAnsi="仿宋" w:eastAsia="仿宋" w:cs="仿宋"/>
                <w:snapToGrid/>
                <w:color w:val="auto"/>
                <w:kern w:val="2"/>
                <w:sz w:val="24"/>
                <w:szCs w:val="24"/>
                <w:highlight w:val="none"/>
                <w:lang w:eastAsia="zh-CN"/>
              </w:rPr>
              <w:t>名称</w:t>
            </w:r>
          </w:p>
        </w:tc>
        <w:tc>
          <w:tcPr>
            <w:tcW w:w="1282" w:type="dxa"/>
            <w:noWrap w:val="0"/>
            <w:vAlign w:val="center"/>
          </w:tcPr>
          <w:p w14:paraId="52923272">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数量</w:t>
            </w:r>
          </w:p>
        </w:tc>
        <w:tc>
          <w:tcPr>
            <w:tcW w:w="1316" w:type="dxa"/>
            <w:noWrap w:val="0"/>
            <w:vAlign w:val="center"/>
          </w:tcPr>
          <w:p w14:paraId="188DCE86">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单价（元）</w:t>
            </w:r>
          </w:p>
        </w:tc>
        <w:tc>
          <w:tcPr>
            <w:tcW w:w="1319" w:type="dxa"/>
            <w:noWrap w:val="0"/>
            <w:vAlign w:val="center"/>
          </w:tcPr>
          <w:p w14:paraId="35AC7B99">
            <w:pPr>
              <w:widowControl w:val="0"/>
              <w:kinsoku/>
              <w:autoSpaceDE/>
              <w:autoSpaceDN/>
              <w:adjustRightInd/>
              <w:snapToGrid/>
              <w:spacing w:line="240" w:lineRule="auto"/>
              <w:jc w:val="center"/>
              <w:textAlignment w:val="auto"/>
              <w:rPr>
                <w:rFonts w:hint="default" w:ascii="仿宋" w:hAnsi="仿宋" w:eastAsia="仿宋" w:cs="仿宋"/>
                <w:snapToGrid/>
                <w:color w:val="auto"/>
                <w:kern w:val="2"/>
                <w:sz w:val="24"/>
                <w:szCs w:val="24"/>
                <w:highlight w:val="none"/>
                <w:lang w:val="en-US" w:eastAsia="zh-CN"/>
              </w:rPr>
            </w:pPr>
            <w:r>
              <w:rPr>
                <w:rFonts w:hint="eastAsia" w:ascii="仿宋" w:hAnsi="仿宋" w:eastAsia="仿宋" w:cs="仿宋"/>
                <w:snapToGrid/>
                <w:color w:val="auto"/>
                <w:kern w:val="2"/>
                <w:sz w:val="24"/>
                <w:szCs w:val="24"/>
                <w:highlight w:val="none"/>
                <w:lang w:val="en-US" w:eastAsia="zh-CN"/>
              </w:rPr>
              <w:t>折扣率（%）</w:t>
            </w:r>
          </w:p>
        </w:tc>
        <w:tc>
          <w:tcPr>
            <w:tcW w:w="1319" w:type="dxa"/>
            <w:noWrap w:val="0"/>
            <w:vAlign w:val="center"/>
          </w:tcPr>
          <w:p w14:paraId="15392274">
            <w:pPr>
              <w:widowControl w:val="0"/>
              <w:kinsoku/>
              <w:autoSpaceDE/>
              <w:autoSpaceDN/>
              <w:adjustRightInd/>
              <w:snapToGrid/>
              <w:spacing w:line="240" w:lineRule="auto"/>
              <w:ind w:left="355" w:hanging="355" w:hangingChars="148"/>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备注</w:t>
            </w:r>
          </w:p>
        </w:tc>
      </w:tr>
      <w:tr w14:paraId="06DE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5C083F5B">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68D1F2D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14C7B1B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5A69480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restart"/>
            <w:noWrap w:val="0"/>
            <w:vAlign w:val="top"/>
          </w:tcPr>
          <w:p w14:paraId="5B2E9C97">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1106273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6838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796169EB">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7371576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0F9705A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60E6FA0D">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continue"/>
            <w:tcBorders/>
            <w:noWrap w:val="0"/>
            <w:vAlign w:val="top"/>
          </w:tcPr>
          <w:p w14:paraId="28CE7179">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1761C03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2D7D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7FC4BA92">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48F0A8C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18E74452">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1B75C21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continue"/>
            <w:tcBorders/>
            <w:noWrap w:val="0"/>
            <w:vAlign w:val="top"/>
          </w:tcPr>
          <w:p w14:paraId="101251E8">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4B6BAD08">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30C8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217" w:type="dxa"/>
            <w:gridSpan w:val="6"/>
            <w:noWrap w:val="0"/>
            <w:vAlign w:val="center"/>
          </w:tcPr>
          <w:p w14:paraId="3F31690E">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合计金额（大写）：</w:t>
            </w:r>
          </w:p>
        </w:tc>
      </w:tr>
    </w:tbl>
    <w:p w14:paraId="0B40542A">
      <w:pPr>
        <w:widowControl w:val="0"/>
        <w:kinsoku/>
        <w:autoSpaceDE/>
        <w:autoSpaceDN/>
        <w:adjustRightInd/>
        <w:snapToGrid/>
        <w:spacing w:line="360" w:lineRule="auto"/>
        <w:ind w:firstLine="720" w:firstLineChars="300"/>
        <w:jc w:val="left"/>
        <w:textAlignment w:val="auto"/>
        <w:rPr>
          <w:rFonts w:hint="eastAsia" w:ascii="宋体" w:hAnsi="宋体" w:eastAsia="宋体" w:cs="宋体"/>
          <w:snapToGrid/>
          <w:color w:val="auto"/>
          <w:kern w:val="2"/>
          <w:sz w:val="24"/>
          <w:szCs w:val="24"/>
          <w:lang w:eastAsia="zh-CN" w:bidi="ar-SA"/>
        </w:rPr>
      </w:pPr>
    </w:p>
    <w:p w14:paraId="7ABFC90C">
      <w:pPr>
        <w:keepNext w:val="0"/>
        <w:keepLines w:val="0"/>
        <w:pageBreakBefore w:val="0"/>
        <w:widowControl w:val="0"/>
        <w:tabs>
          <w:tab w:val="left" w:pos="3151"/>
        </w:tabs>
        <w:kinsoku/>
        <w:wordWrap/>
        <w:overflowPunct/>
        <w:topLinePunct w:val="0"/>
        <w:autoSpaceDE/>
        <w:autoSpaceDN/>
        <w:bidi w:val="0"/>
        <w:adjustRightInd/>
        <w:snapToGrid/>
        <w:spacing w:line="400" w:lineRule="exact"/>
        <w:ind w:firstLine="562" w:firstLineChars="200"/>
        <w:jc w:val="left"/>
        <w:textAlignment w:val="auto"/>
        <w:rPr>
          <w:rFonts w:hint="eastAsia" w:ascii="仿宋" w:hAnsi="仿宋" w:eastAsia="仿宋" w:cs="仿宋"/>
          <w:b/>
          <w:bCs/>
          <w:snapToGrid/>
          <w:color w:val="auto"/>
          <w:kern w:val="2"/>
          <w:sz w:val="28"/>
          <w:szCs w:val="28"/>
          <w:lang w:eastAsia="zh-CN" w:bidi="ar-SA"/>
        </w:rPr>
      </w:pPr>
      <w:r>
        <w:rPr>
          <w:rFonts w:hint="eastAsia" w:ascii="仿宋" w:hAnsi="仿宋" w:eastAsia="仿宋" w:cs="仿宋"/>
          <w:b/>
          <w:bCs/>
          <w:snapToGrid/>
          <w:color w:val="auto"/>
          <w:kern w:val="2"/>
          <w:sz w:val="28"/>
          <w:szCs w:val="28"/>
          <w:lang w:eastAsia="zh-CN" w:bidi="ar-SA"/>
        </w:rPr>
        <w:t>注：</w:t>
      </w:r>
      <w:r>
        <w:rPr>
          <w:rFonts w:hint="eastAsia" w:ascii="仿宋" w:hAnsi="仿宋" w:eastAsia="仿宋" w:cs="仿宋"/>
          <w:b/>
          <w:bCs/>
          <w:snapToGrid/>
          <w:color w:val="auto"/>
          <w:kern w:val="2"/>
          <w:sz w:val="28"/>
          <w:szCs w:val="28"/>
          <w:lang w:val="en-US" w:eastAsia="zh-CN" w:bidi="ar-SA"/>
        </w:rPr>
        <w:t>1.供应商所报价格是响应采购项目要求的全部工作内容的价格体现，包括本项目所涉及的含税、人工、包装、收集、装卸、运输、贮存、处置、保险、联单、报备、应急、税费等完成本项目的一切相关费用。供应商只允许有一个报价，并且在合同履行过程中是固定不变的，任何有选择或可调整的报价将不予接受，并按无效响应处理。</w:t>
      </w:r>
    </w:p>
    <w:p w14:paraId="5C0FBAB2">
      <w:pPr>
        <w:widowControl w:val="0"/>
        <w:kinsoku/>
        <w:autoSpaceDE/>
        <w:autoSpaceDN/>
        <w:adjustRightInd/>
        <w:snapToGrid/>
        <w:spacing w:line="360" w:lineRule="exact"/>
        <w:ind w:firstLine="562" w:firstLineChars="200"/>
        <w:jc w:val="left"/>
        <w:textAlignment w:val="auto"/>
        <w:rPr>
          <w:rFonts w:hint="eastAsia" w:ascii="仿宋" w:hAnsi="仿宋" w:eastAsia="仿宋" w:cs="仿宋"/>
          <w:b/>
          <w:bCs/>
          <w:snapToGrid/>
          <w:color w:val="auto"/>
          <w:kern w:val="2"/>
          <w:sz w:val="28"/>
          <w:szCs w:val="28"/>
          <w:lang w:eastAsia="zh-CN" w:bidi="ar-SA"/>
        </w:rPr>
      </w:pPr>
      <w:r>
        <w:rPr>
          <w:rFonts w:hint="eastAsia" w:ascii="仿宋" w:hAnsi="仿宋" w:eastAsia="仿宋" w:cs="仿宋"/>
          <w:b/>
          <w:bCs/>
          <w:snapToGrid/>
          <w:color w:val="auto"/>
          <w:kern w:val="2"/>
          <w:sz w:val="28"/>
          <w:szCs w:val="28"/>
          <w:lang w:eastAsia="zh-CN" w:bidi="ar-SA"/>
        </w:rPr>
        <w:t>2.“报价表”为多页的，每页均需</w:t>
      </w:r>
      <w:r>
        <w:rPr>
          <w:rFonts w:hint="eastAsia" w:ascii="仿宋" w:hAnsi="仿宋" w:eastAsia="仿宋" w:cs="仿宋"/>
          <w:b/>
          <w:bCs/>
          <w:snapToGrid/>
          <w:color w:val="auto"/>
          <w:kern w:val="2"/>
          <w:sz w:val="28"/>
          <w:szCs w:val="28"/>
          <w:lang w:val="en-US" w:eastAsia="zh-CN" w:bidi="ar-SA"/>
        </w:rPr>
        <w:t>加盖</w:t>
      </w:r>
      <w:r>
        <w:rPr>
          <w:rFonts w:hint="eastAsia" w:ascii="仿宋" w:hAnsi="仿宋" w:eastAsia="仿宋" w:cs="仿宋"/>
          <w:b/>
          <w:bCs/>
          <w:snapToGrid/>
          <w:color w:val="auto"/>
          <w:kern w:val="2"/>
          <w:sz w:val="28"/>
          <w:szCs w:val="28"/>
          <w:lang w:eastAsia="zh-CN" w:bidi="ar-SA"/>
        </w:rPr>
        <w:t>谈判供应商印章。</w:t>
      </w:r>
    </w:p>
    <w:p w14:paraId="75C6D8BB">
      <w:pPr>
        <w:widowControl w:val="0"/>
        <w:kinsoku/>
        <w:autoSpaceDE/>
        <w:autoSpaceDN/>
        <w:adjustRightInd/>
        <w:snapToGrid/>
        <w:spacing w:line="360" w:lineRule="exact"/>
        <w:ind w:firstLine="562" w:firstLineChars="200"/>
        <w:jc w:val="left"/>
        <w:textAlignment w:val="auto"/>
        <w:rPr>
          <w:rFonts w:hint="eastAsia" w:ascii="仿宋" w:hAnsi="仿宋" w:eastAsia="仿宋" w:cs="仿宋"/>
          <w:b/>
          <w:snapToGrid/>
          <w:color w:val="auto"/>
          <w:kern w:val="2"/>
          <w:sz w:val="28"/>
          <w:szCs w:val="28"/>
          <w:lang w:eastAsia="zh-CN" w:bidi="ar"/>
        </w:rPr>
      </w:pPr>
      <w:r>
        <w:rPr>
          <w:rFonts w:hint="eastAsia" w:ascii="仿宋" w:hAnsi="仿宋" w:eastAsia="仿宋" w:cs="仿宋"/>
          <w:b/>
          <w:bCs/>
          <w:snapToGrid/>
          <w:color w:val="auto"/>
          <w:kern w:val="2"/>
          <w:sz w:val="28"/>
          <w:szCs w:val="28"/>
          <w:lang w:eastAsia="zh-CN" w:bidi="ar-SA"/>
        </w:rPr>
        <w:t>3.“报价表”以包为单位填写。</w:t>
      </w:r>
    </w:p>
    <w:p w14:paraId="0DD10AB2">
      <w:pPr>
        <w:widowControl w:val="0"/>
        <w:kinsoku/>
        <w:autoSpaceDE/>
        <w:autoSpaceDN/>
        <w:adjustRightInd/>
        <w:snapToGrid/>
        <w:spacing w:line="360" w:lineRule="exact"/>
        <w:ind w:firstLine="482" w:firstLineChars="200"/>
        <w:jc w:val="left"/>
        <w:textAlignment w:val="auto"/>
        <w:rPr>
          <w:rFonts w:hint="eastAsia" w:ascii="仿宋" w:hAnsi="仿宋" w:eastAsia="仿宋" w:cs="仿宋"/>
          <w:b/>
          <w:snapToGrid/>
          <w:color w:val="auto"/>
          <w:kern w:val="2"/>
          <w:sz w:val="24"/>
          <w:szCs w:val="24"/>
          <w:lang w:eastAsia="zh-CN" w:bidi="ar"/>
        </w:rPr>
      </w:pPr>
    </w:p>
    <w:p w14:paraId="57E5E401">
      <w:pPr>
        <w:widowControl w:val="0"/>
        <w:kinsoku/>
        <w:autoSpaceDE/>
        <w:autoSpaceDN/>
        <w:adjustRightInd/>
        <w:snapToGrid/>
        <w:spacing w:line="360" w:lineRule="exact"/>
        <w:ind w:firstLine="482" w:firstLineChars="200"/>
        <w:jc w:val="left"/>
        <w:textAlignment w:val="auto"/>
        <w:rPr>
          <w:rFonts w:hint="eastAsia" w:ascii="仿宋" w:hAnsi="仿宋" w:eastAsia="仿宋" w:cs="仿宋"/>
          <w:b/>
          <w:snapToGrid/>
          <w:color w:val="auto"/>
          <w:kern w:val="2"/>
          <w:sz w:val="24"/>
          <w:szCs w:val="24"/>
          <w:lang w:eastAsia="zh-CN" w:bidi="ar-SA"/>
        </w:rPr>
      </w:pPr>
    </w:p>
    <w:p w14:paraId="75212D20">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r>
        <w:rPr>
          <w:rFonts w:hint="eastAsia" w:ascii="仿宋" w:hAnsi="仿宋" w:eastAsia="仿宋" w:cs="仿宋"/>
          <w:snapToGrid/>
          <w:color w:val="auto"/>
          <w:kern w:val="2"/>
          <w:sz w:val="24"/>
          <w:szCs w:val="24"/>
          <w:lang w:eastAsia="zh-CN" w:bidi="ar-SA"/>
        </w:rPr>
        <w:t>供应商名称：（盖公章）</w:t>
      </w:r>
    </w:p>
    <w:p w14:paraId="18FFD12D">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p>
    <w:p w14:paraId="7586C1AA">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r>
        <w:rPr>
          <w:rFonts w:hint="eastAsia" w:ascii="仿宋" w:hAnsi="仿宋" w:eastAsia="仿宋" w:cs="仿宋"/>
          <w:snapToGrid/>
          <w:color w:val="auto"/>
          <w:kern w:val="2"/>
          <w:sz w:val="24"/>
          <w:szCs w:val="24"/>
          <w:lang w:eastAsia="zh-CN" w:bidi="ar-SA"/>
        </w:rPr>
        <w:t>法定代表人或授权代表：（签字）</w:t>
      </w:r>
    </w:p>
    <w:p w14:paraId="234D6166">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2"/>
          <w:u w:val="single"/>
          <w:lang w:eastAsia="zh-CN" w:bidi="ar-SA"/>
        </w:rPr>
      </w:pPr>
    </w:p>
    <w:p w14:paraId="3C4FE587">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32"/>
          <w:szCs w:val="32"/>
          <w:lang w:eastAsia="zh-CN" w:bidi="ar-SA"/>
        </w:rPr>
      </w:pPr>
      <w:r>
        <w:rPr>
          <w:rFonts w:hint="eastAsia" w:ascii="仿宋" w:hAnsi="仿宋" w:eastAsia="仿宋" w:cs="仿宋"/>
          <w:snapToGrid/>
          <w:color w:val="auto"/>
          <w:kern w:val="2"/>
          <w:sz w:val="24"/>
          <w:szCs w:val="22"/>
          <w:lang w:eastAsia="zh-CN" w:bidi="ar-SA"/>
        </w:rPr>
        <w:t>年</w:t>
      </w:r>
      <w:r>
        <w:rPr>
          <w:rFonts w:hint="eastAsia" w:ascii="仿宋" w:hAnsi="仿宋" w:eastAsia="仿宋" w:cs="仿宋"/>
          <w:snapToGrid/>
          <w:color w:val="auto"/>
          <w:kern w:val="2"/>
          <w:sz w:val="24"/>
          <w:szCs w:val="22"/>
          <w:lang w:val="en-US" w:eastAsia="zh-CN" w:bidi="ar-SA"/>
        </w:rPr>
        <w:t xml:space="preserve">  </w:t>
      </w:r>
      <w:r>
        <w:rPr>
          <w:rFonts w:hint="eastAsia" w:ascii="仿宋" w:hAnsi="仿宋" w:eastAsia="仿宋" w:cs="仿宋"/>
          <w:snapToGrid/>
          <w:color w:val="auto"/>
          <w:kern w:val="2"/>
          <w:sz w:val="24"/>
          <w:szCs w:val="22"/>
          <w:lang w:eastAsia="zh-CN" w:bidi="ar-SA"/>
        </w:rPr>
        <w:t>月</w:t>
      </w:r>
      <w:r>
        <w:rPr>
          <w:rFonts w:hint="eastAsia" w:ascii="仿宋" w:hAnsi="仿宋" w:eastAsia="仿宋" w:cs="仿宋"/>
          <w:snapToGrid/>
          <w:color w:val="auto"/>
          <w:kern w:val="2"/>
          <w:sz w:val="24"/>
          <w:szCs w:val="22"/>
          <w:lang w:val="en-US" w:eastAsia="zh-CN" w:bidi="ar-SA"/>
        </w:rPr>
        <w:t xml:space="preserve">  </w:t>
      </w:r>
      <w:r>
        <w:rPr>
          <w:rFonts w:hint="eastAsia" w:ascii="仿宋" w:hAnsi="仿宋" w:eastAsia="仿宋" w:cs="仿宋"/>
          <w:snapToGrid/>
          <w:color w:val="auto"/>
          <w:kern w:val="2"/>
          <w:sz w:val="24"/>
          <w:szCs w:val="22"/>
          <w:lang w:eastAsia="zh-CN" w:bidi="ar-SA"/>
        </w:rPr>
        <w:t>日</w:t>
      </w:r>
    </w:p>
    <w:p w14:paraId="3D24B60A">
      <w:pPr>
        <w:pStyle w:val="7"/>
        <w:tabs>
          <w:tab w:val="left" w:pos="0"/>
        </w:tabs>
        <w:kinsoku/>
        <w:autoSpaceDE/>
        <w:autoSpaceDN/>
        <w:adjustRightInd/>
        <w:snapToGrid/>
        <w:jc w:val="center"/>
        <w:textAlignment w:val="auto"/>
        <w:rPr>
          <w:rFonts w:hint="eastAsia" w:ascii="宋体" w:hAnsi="宋体" w:eastAsia="宋体" w:cs="宋体"/>
          <w:b/>
          <w:bCs/>
          <w:snapToGrid/>
          <w:color w:val="auto"/>
          <w:kern w:val="2"/>
          <w:sz w:val="32"/>
          <w:szCs w:val="32"/>
          <w:lang w:eastAsia="zh-CN" w:bidi="ar-SA"/>
        </w:rPr>
      </w:pPr>
      <w:r>
        <w:rPr>
          <w:rFonts w:hint="eastAsia" w:ascii="宋体" w:hAnsi="宋体" w:eastAsia="宋体" w:cs="宋体"/>
          <w:b/>
          <w:bCs/>
          <w:snapToGrid/>
          <w:color w:val="auto"/>
          <w:kern w:val="2"/>
          <w:sz w:val="32"/>
          <w:szCs w:val="32"/>
          <w:lang w:eastAsia="zh-CN" w:bidi="ar-SA"/>
        </w:rPr>
        <w:br w:type="page"/>
      </w:r>
    </w:p>
    <w:p w14:paraId="484CA568">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bookmarkStart w:id="0" w:name="_Toc23055"/>
      <w:r>
        <w:rPr>
          <w:rFonts w:hint="eastAsia" w:ascii="黑体" w:hAnsi="黑体" w:eastAsia="黑体" w:cs="黑体"/>
          <w:color w:val="auto"/>
          <w:spacing w:val="26"/>
          <w:sz w:val="32"/>
          <w:szCs w:val="32"/>
          <w:lang w:val="en-US" w:eastAsia="zh-CN"/>
        </w:rPr>
        <w:t>三</w:t>
      </w:r>
      <w:r>
        <w:rPr>
          <w:rFonts w:hint="eastAsia" w:ascii="黑体" w:hAnsi="黑体" w:eastAsia="黑体" w:cs="黑体"/>
          <w:color w:val="auto"/>
          <w:spacing w:val="26"/>
          <w:sz w:val="32"/>
          <w:szCs w:val="32"/>
          <w:lang w:eastAsia="zh-CN"/>
        </w:rPr>
        <w:t>、服务应答表</w:t>
      </w:r>
      <w:bookmarkEnd w:id="0"/>
    </w:p>
    <w:p w14:paraId="472B84AD">
      <w:pPr>
        <w:widowControl w:val="0"/>
        <w:kinsoku/>
        <w:autoSpaceDE/>
        <w:autoSpaceDN/>
        <w:adjustRightInd/>
        <w:snapToGrid/>
        <w:spacing w:line="240" w:lineRule="auto"/>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项目名称：</w:t>
      </w:r>
    </w:p>
    <w:p w14:paraId="59FDEC1C">
      <w:pPr>
        <w:widowControl w:val="0"/>
        <w:kinsoku/>
        <w:autoSpaceDE/>
        <w:autoSpaceDN/>
        <w:adjustRightInd/>
        <w:snapToGrid/>
        <w:spacing w:line="240" w:lineRule="auto"/>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项目编号：</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2549"/>
        <w:gridCol w:w="2818"/>
        <w:gridCol w:w="2818"/>
      </w:tblGrid>
      <w:tr w14:paraId="0F3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7B152122">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序号</w:t>
            </w:r>
          </w:p>
        </w:tc>
        <w:tc>
          <w:tcPr>
            <w:tcW w:w="2549" w:type="dxa"/>
            <w:tcBorders>
              <w:top w:val="single" w:color="auto" w:sz="4" w:space="0"/>
              <w:left w:val="single" w:color="auto" w:sz="4" w:space="0"/>
              <w:bottom w:val="single" w:color="auto" w:sz="4" w:space="0"/>
              <w:right w:val="single" w:color="auto" w:sz="4" w:space="0"/>
            </w:tcBorders>
            <w:noWrap w:val="0"/>
            <w:vAlign w:val="center"/>
          </w:tcPr>
          <w:p w14:paraId="55434336">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谈判文件要求</w:t>
            </w:r>
          </w:p>
        </w:tc>
        <w:tc>
          <w:tcPr>
            <w:tcW w:w="2818" w:type="dxa"/>
            <w:tcBorders>
              <w:top w:val="single" w:color="auto" w:sz="4" w:space="0"/>
              <w:left w:val="single" w:color="auto" w:sz="4" w:space="0"/>
              <w:bottom w:val="single" w:color="auto" w:sz="4" w:space="0"/>
              <w:right w:val="single" w:color="auto" w:sz="4" w:space="0"/>
            </w:tcBorders>
            <w:noWrap w:val="0"/>
            <w:vAlign w:val="center"/>
          </w:tcPr>
          <w:p w14:paraId="1DCFAFE4">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响应文件响应</w:t>
            </w:r>
          </w:p>
        </w:tc>
        <w:tc>
          <w:tcPr>
            <w:tcW w:w="2818" w:type="dxa"/>
            <w:tcBorders>
              <w:top w:val="single" w:color="auto" w:sz="4" w:space="0"/>
              <w:left w:val="single" w:color="auto" w:sz="4" w:space="0"/>
              <w:bottom w:val="single" w:color="auto" w:sz="4" w:space="0"/>
              <w:right w:val="single" w:color="auto" w:sz="4" w:space="0"/>
            </w:tcBorders>
            <w:noWrap w:val="0"/>
            <w:vAlign w:val="center"/>
          </w:tcPr>
          <w:p w14:paraId="48A96FA3">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偏离及其影响</w:t>
            </w:r>
          </w:p>
        </w:tc>
      </w:tr>
      <w:tr w14:paraId="5823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135C2081">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798CD30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4EE24A48">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0EBDDB68">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3276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778ACEE4">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19EAD8DD">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939F91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658641F9">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5932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28C5B780">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38DCFED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7B8E417E">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DD371F1">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17EA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6F2B7F6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25A1AFD3">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043F14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0D97E83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bl>
    <w:p w14:paraId="2D61BA5C">
      <w:pPr>
        <w:widowControl w:val="0"/>
        <w:kinsoku/>
        <w:autoSpaceDE/>
        <w:autoSpaceDN/>
        <w:adjustRightInd/>
        <w:snapToGrid/>
        <w:spacing w:line="240" w:lineRule="auto"/>
        <w:ind w:firstLine="562" w:firstLineChars="200"/>
        <w:jc w:val="both"/>
        <w:textAlignment w:val="auto"/>
        <w:rPr>
          <w:rFonts w:hint="eastAsia" w:ascii="仿宋" w:hAnsi="仿宋" w:eastAsia="仿宋" w:cs="仿宋"/>
          <w:b/>
          <w:snapToGrid/>
          <w:color w:val="auto"/>
          <w:kern w:val="2"/>
          <w:sz w:val="28"/>
          <w:szCs w:val="28"/>
          <w:lang w:eastAsia="zh-CN" w:bidi="ar-SA"/>
        </w:rPr>
      </w:pPr>
    </w:p>
    <w:p w14:paraId="68C9A877">
      <w:pPr>
        <w:widowControl w:val="0"/>
        <w:kinsoku/>
        <w:autoSpaceDE/>
        <w:autoSpaceDN/>
        <w:adjustRightInd/>
        <w:snapToGrid/>
        <w:spacing w:line="240" w:lineRule="auto"/>
        <w:ind w:firstLine="560" w:firstLineChars="200"/>
        <w:jc w:val="both"/>
        <w:textAlignment w:val="auto"/>
        <w:rPr>
          <w:rFonts w:hint="eastAsia" w:ascii="仿宋" w:hAnsi="仿宋" w:eastAsia="仿宋" w:cs="仿宋"/>
          <w:b/>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注：供应商必须根据谈判文件要求据实逐条填写，不得虚假响应，虚假响应的，</w:t>
      </w:r>
      <w:r>
        <w:rPr>
          <w:rFonts w:hint="eastAsia" w:ascii="仿宋" w:hAnsi="仿宋" w:eastAsia="仿宋" w:cs="仿宋"/>
          <w:snapToGrid/>
          <w:color w:val="auto"/>
          <w:kern w:val="2"/>
          <w:sz w:val="28"/>
          <w:szCs w:val="28"/>
          <w:lang w:val="en-US" w:eastAsia="zh-CN" w:bidi="ar-SA"/>
        </w:rPr>
        <w:tab/>
      </w:r>
      <w:r>
        <w:rPr>
          <w:rFonts w:hint="eastAsia" w:ascii="仿宋" w:hAnsi="仿宋" w:eastAsia="仿宋" w:cs="仿宋"/>
          <w:snapToGrid/>
          <w:color w:val="auto"/>
          <w:kern w:val="2"/>
          <w:sz w:val="28"/>
          <w:szCs w:val="28"/>
          <w:lang w:eastAsia="zh-CN" w:bidi="ar-SA"/>
        </w:rPr>
        <w:t>其响应文件无效并按规定追究其相关责任。</w:t>
      </w:r>
    </w:p>
    <w:p w14:paraId="31A3B009">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50EBB82C">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供应商名称：XXX（盖单位公章）</w:t>
      </w:r>
    </w:p>
    <w:p w14:paraId="7D7D08D4">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法定代表人或授权代表（签字或盖章）：XXX</w:t>
      </w:r>
    </w:p>
    <w:p w14:paraId="4A35F2C7">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日期</w:t>
      </w:r>
      <w:r>
        <w:rPr>
          <w:rFonts w:hint="eastAsia" w:ascii="仿宋" w:hAnsi="仿宋" w:eastAsia="仿宋" w:cs="仿宋"/>
          <w:snapToGrid/>
          <w:color w:val="auto"/>
          <w:kern w:val="2"/>
          <w:sz w:val="28"/>
          <w:szCs w:val="28"/>
          <w:lang w:eastAsia="zh-CN" w:bidi="ar-SA"/>
        </w:rPr>
        <w:t>：</w:t>
      </w:r>
      <w:r>
        <w:rPr>
          <w:rFonts w:hint="eastAsia" w:ascii="仿宋" w:hAnsi="仿宋" w:eastAsia="仿宋" w:cs="仿宋"/>
          <w:bCs/>
          <w:snapToGrid/>
          <w:color w:val="auto"/>
          <w:kern w:val="2"/>
          <w:sz w:val="28"/>
          <w:szCs w:val="28"/>
          <w:lang w:eastAsia="zh-CN" w:bidi="ar-SA"/>
        </w:rPr>
        <w:t>XXX年XXX月XXX日</w:t>
      </w:r>
    </w:p>
    <w:p w14:paraId="202E95F2">
      <w:pPr>
        <w:widowControl w:val="0"/>
        <w:spacing w:after="120"/>
        <w:jc w:val="both"/>
        <w:rPr>
          <w:rFonts w:hint="eastAsia" w:ascii="仿宋" w:hAnsi="仿宋" w:eastAsia="仿宋" w:cs="仿宋"/>
          <w:color w:val="auto"/>
          <w:kern w:val="2"/>
          <w:sz w:val="28"/>
          <w:szCs w:val="28"/>
          <w:lang w:val="en-US" w:eastAsia="zh-CN" w:bidi="ar-SA"/>
        </w:rPr>
      </w:pPr>
    </w:p>
    <w:p w14:paraId="795AF776">
      <w:pPr>
        <w:pStyle w:val="6"/>
        <w:kinsoku/>
        <w:autoSpaceDE/>
        <w:autoSpaceDN/>
        <w:adjustRightInd/>
        <w:snapToGrid/>
        <w:spacing w:line="240" w:lineRule="auto"/>
        <w:rPr>
          <w:rFonts w:hint="eastAsia" w:ascii="宋体" w:hAnsi="宋体" w:eastAsia="宋体" w:cs="宋体"/>
          <w:snapToGrid/>
          <w:color w:val="auto"/>
          <w:lang w:bidi="ar-SA"/>
        </w:rPr>
      </w:pPr>
    </w:p>
    <w:p w14:paraId="42F967CA">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002663B9">
      <w:pPr>
        <w:widowControl w:val="0"/>
        <w:spacing w:after="120"/>
        <w:jc w:val="both"/>
        <w:rPr>
          <w:rFonts w:hint="eastAsia" w:ascii="宋体" w:hAnsi="宋体" w:eastAsia="宋体" w:cs="宋体"/>
          <w:color w:val="auto"/>
          <w:kern w:val="2"/>
          <w:sz w:val="21"/>
          <w:szCs w:val="24"/>
          <w:lang w:val="en-US" w:eastAsia="zh-CN" w:bidi="ar-SA"/>
        </w:rPr>
      </w:pPr>
    </w:p>
    <w:p w14:paraId="0D871DAE">
      <w:pPr>
        <w:pStyle w:val="6"/>
        <w:kinsoku/>
        <w:autoSpaceDE/>
        <w:autoSpaceDN/>
        <w:adjustRightInd/>
        <w:snapToGrid/>
        <w:spacing w:line="240" w:lineRule="auto"/>
        <w:rPr>
          <w:rFonts w:hint="eastAsia" w:ascii="宋体" w:hAnsi="宋体" w:eastAsia="宋体" w:cs="宋体"/>
          <w:snapToGrid/>
          <w:color w:val="auto"/>
          <w:lang w:bidi="ar-SA"/>
        </w:rPr>
      </w:pPr>
    </w:p>
    <w:p w14:paraId="1B311E0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val="en-US" w:eastAsia="zh-CN"/>
        </w:rPr>
      </w:pPr>
      <w:r>
        <w:rPr>
          <w:rFonts w:hint="eastAsia" w:ascii="宋体" w:hAnsi="宋体" w:eastAsia="宋体" w:cs="宋体"/>
          <w:b/>
          <w:snapToGrid/>
          <w:color w:val="auto"/>
          <w:sz w:val="32"/>
          <w:szCs w:val="32"/>
          <w:lang w:val="en-US" w:eastAsia="zh-CN" w:bidi="ar-SA"/>
        </w:rPr>
        <w:br w:type="page"/>
      </w:r>
      <w:r>
        <w:rPr>
          <w:rFonts w:hint="eastAsia" w:ascii="黑体" w:hAnsi="黑体" w:eastAsia="黑体" w:cs="黑体"/>
          <w:color w:val="auto"/>
          <w:spacing w:val="26"/>
          <w:sz w:val="32"/>
          <w:szCs w:val="32"/>
          <w:lang w:val="en-US" w:eastAsia="zh-CN"/>
        </w:rPr>
        <w:t>四、商务应答表</w:t>
      </w:r>
    </w:p>
    <w:p w14:paraId="4A177B91">
      <w:pPr>
        <w:widowControl w:val="0"/>
        <w:pBdr>
          <w:bottom w:val="single" w:color="auto" w:sz="6" w:space="1"/>
        </w:pBdr>
        <w:snapToGrid w:val="0"/>
        <w:spacing w:line="400" w:lineRule="exact"/>
        <w:jc w:val="both"/>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项目编号：</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3750"/>
        <w:gridCol w:w="4240"/>
      </w:tblGrid>
      <w:tr w14:paraId="0201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25" w:type="dxa"/>
            <w:tcBorders>
              <w:top w:val="single" w:color="auto" w:sz="4" w:space="0"/>
              <w:left w:val="single" w:color="auto" w:sz="4" w:space="0"/>
              <w:bottom w:val="single" w:color="auto" w:sz="4" w:space="0"/>
              <w:right w:val="single" w:color="auto" w:sz="4" w:space="0"/>
            </w:tcBorders>
            <w:noWrap w:val="0"/>
            <w:vAlign w:val="center"/>
          </w:tcPr>
          <w:p w14:paraId="69E4D55A">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序号</w:t>
            </w:r>
          </w:p>
        </w:tc>
        <w:tc>
          <w:tcPr>
            <w:tcW w:w="3750" w:type="dxa"/>
            <w:tcBorders>
              <w:top w:val="single" w:color="auto" w:sz="4" w:space="0"/>
              <w:left w:val="nil"/>
              <w:bottom w:val="single" w:color="auto" w:sz="4" w:space="0"/>
              <w:right w:val="single" w:color="auto" w:sz="4" w:space="0"/>
            </w:tcBorders>
            <w:noWrap w:val="0"/>
            <w:vAlign w:val="center"/>
          </w:tcPr>
          <w:p w14:paraId="2660CABF">
            <w:pPr>
              <w:widowControl w:val="0"/>
              <w:kinsoku/>
              <w:autoSpaceDE/>
              <w:autoSpaceDN/>
              <w:adjustRightInd/>
              <w:snapToGrid/>
              <w:spacing w:line="400" w:lineRule="exact"/>
              <w:ind w:right="-1443" w:rightChars="-687" w:firstLine="1120" w:firstLineChars="4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谈判要求</w:t>
            </w:r>
          </w:p>
        </w:tc>
        <w:tc>
          <w:tcPr>
            <w:tcW w:w="4240" w:type="dxa"/>
            <w:tcBorders>
              <w:top w:val="single" w:color="auto" w:sz="4" w:space="0"/>
              <w:left w:val="nil"/>
              <w:bottom w:val="single" w:color="auto" w:sz="4" w:space="0"/>
              <w:right w:val="single" w:color="auto" w:sz="4" w:space="0"/>
            </w:tcBorders>
            <w:noWrap w:val="0"/>
            <w:vAlign w:val="center"/>
          </w:tcPr>
          <w:p w14:paraId="6C88DC71">
            <w:pPr>
              <w:widowControl w:val="0"/>
              <w:kinsoku/>
              <w:autoSpaceDE/>
              <w:autoSpaceDN/>
              <w:adjustRightInd/>
              <w:snapToGrid/>
              <w:spacing w:line="400" w:lineRule="exact"/>
              <w:ind w:left="215" w:hanging="252" w:hangingChars="90"/>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谈判应答</w:t>
            </w:r>
          </w:p>
        </w:tc>
      </w:tr>
      <w:tr w14:paraId="4471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632F99B9">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40C7E745">
            <w:pPr>
              <w:widowControl w:val="0"/>
              <w:kinsoku/>
              <w:autoSpaceDE/>
              <w:autoSpaceDN/>
              <w:adjustRightInd/>
              <w:snapToGrid/>
              <w:spacing w:line="400" w:lineRule="exact"/>
              <w:ind w:left="316" w:hanging="369" w:hangingChars="132"/>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6DA2B6D3">
            <w:pPr>
              <w:widowControl w:val="0"/>
              <w:kinsoku/>
              <w:autoSpaceDE/>
              <w:autoSpaceDN/>
              <w:adjustRightInd/>
              <w:snapToGrid/>
              <w:spacing w:line="400" w:lineRule="exact"/>
              <w:ind w:left="316" w:hanging="369" w:hangingChars="132"/>
              <w:jc w:val="center"/>
              <w:textAlignment w:val="auto"/>
              <w:rPr>
                <w:rFonts w:hint="eastAsia" w:ascii="仿宋" w:hAnsi="仿宋" w:eastAsia="仿宋" w:cs="仿宋"/>
                <w:snapToGrid/>
                <w:color w:val="auto"/>
                <w:kern w:val="2"/>
                <w:sz w:val="28"/>
                <w:szCs w:val="28"/>
                <w:lang w:eastAsia="zh-CN" w:bidi="ar-SA"/>
              </w:rPr>
            </w:pPr>
          </w:p>
        </w:tc>
      </w:tr>
      <w:tr w14:paraId="2AED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4F9F797E">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3951C40E">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35BDD284">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r w14:paraId="60E8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5934AB6B">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1CDBF4C3">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10BD969C">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r w14:paraId="0F63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5F53ED5D">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0827BDFF">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20FCCC60">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bl>
    <w:p w14:paraId="070BF4E3">
      <w:pPr>
        <w:widowControl w:val="0"/>
        <w:kinsoku/>
        <w:autoSpaceDE/>
        <w:autoSpaceDN/>
        <w:adjustRightInd/>
        <w:snapToGrid/>
        <w:spacing w:line="240" w:lineRule="auto"/>
        <w:ind w:firstLine="562" w:firstLineChars="200"/>
        <w:jc w:val="both"/>
        <w:textAlignment w:val="auto"/>
        <w:rPr>
          <w:rFonts w:hint="eastAsia" w:ascii="仿宋" w:hAnsi="仿宋" w:eastAsia="仿宋" w:cs="仿宋"/>
          <w:b/>
          <w:snapToGrid/>
          <w:color w:val="auto"/>
          <w:kern w:val="2"/>
          <w:sz w:val="28"/>
          <w:szCs w:val="28"/>
          <w:lang w:eastAsia="zh-CN" w:bidi="ar-SA"/>
        </w:rPr>
      </w:pPr>
    </w:p>
    <w:p w14:paraId="718E4C59">
      <w:pPr>
        <w:widowControl w:val="0"/>
        <w:kinsoku/>
        <w:autoSpaceDE/>
        <w:autoSpaceDN/>
        <w:adjustRightInd/>
        <w:snapToGrid/>
        <w:spacing w:line="240" w:lineRule="auto"/>
        <w:ind w:firstLine="560" w:firstLineChars="200"/>
        <w:jc w:val="both"/>
        <w:textAlignment w:val="auto"/>
        <w:rPr>
          <w:rFonts w:hint="eastAsia" w:ascii="仿宋" w:hAnsi="仿宋" w:eastAsia="仿宋" w:cs="仿宋"/>
          <w:b/>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注意：供应商必须据实填写，不得虚假响应，虚假响应的，其响应文件无效并按规定追究其相关责任。</w:t>
      </w:r>
    </w:p>
    <w:p w14:paraId="11F2AF95">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7C521E23">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供应商名称：XXX（盖单位公章）</w:t>
      </w:r>
    </w:p>
    <w:p w14:paraId="3ED0F6DE">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法定代表人或授权代表（签字或盖章）：XXX</w:t>
      </w:r>
    </w:p>
    <w:p w14:paraId="7F503CED">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日期：XXX年XXX月XXX日</w:t>
      </w:r>
    </w:p>
    <w:p w14:paraId="50F99874">
      <w:pPr>
        <w:widowControl w:val="0"/>
        <w:spacing w:after="120"/>
        <w:jc w:val="both"/>
        <w:rPr>
          <w:rFonts w:hint="eastAsia" w:ascii="宋体" w:hAnsi="宋体" w:eastAsia="宋体" w:cs="宋体"/>
          <w:color w:val="auto"/>
          <w:kern w:val="2"/>
          <w:sz w:val="21"/>
          <w:szCs w:val="24"/>
          <w:lang w:val="en-US" w:eastAsia="zh-CN" w:bidi="ar-SA"/>
        </w:rPr>
      </w:pPr>
    </w:p>
    <w:p w14:paraId="0E83651F">
      <w:pPr>
        <w:pStyle w:val="6"/>
        <w:kinsoku/>
        <w:autoSpaceDE/>
        <w:autoSpaceDN/>
        <w:adjustRightInd/>
        <w:snapToGrid/>
        <w:spacing w:line="240" w:lineRule="auto"/>
        <w:rPr>
          <w:rFonts w:hint="eastAsia" w:ascii="宋体" w:hAnsi="宋体" w:eastAsia="宋体" w:cs="宋体"/>
          <w:snapToGrid/>
          <w:color w:val="auto"/>
          <w:lang w:bidi="ar-SA"/>
        </w:rPr>
      </w:pPr>
    </w:p>
    <w:p w14:paraId="0070F9ED">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1746B9C3">
      <w:pPr>
        <w:widowControl w:val="0"/>
        <w:spacing w:after="120"/>
        <w:jc w:val="both"/>
        <w:rPr>
          <w:rFonts w:hint="eastAsia" w:ascii="宋体" w:hAnsi="宋体" w:eastAsia="宋体" w:cs="宋体"/>
          <w:color w:val="auto"/>
          <w:kern w:val="2"/>
          <w:sz w:val="21"/>
          <w:szCs w:val="24"/>
          <w:lang w:val="en-US" w:eastAsia="zh-CN" w:bidi="ar-SA"/>
        </w:rPr>
      </w:pPr>
    </w:p>
    <w:p w14:paraId="324D9244">
      <w:pPr>
        <w:pStyle w:val="6"/>
        <w:kinsoku/>
        <w:autoSpaceDE/>
        <w:autoSpaceDN/>
        <w:adjustRightInd/>
        <w:snapToGrid/>
        <w:spacing w:line="240" w:lineRule="auto"/>
        <w:rPr>
          <w:rFonts w:hint="eastAsia" w:ascii="宋体" w:hAnsi="宋体" w:eastAsia="宋体" w:cs="宋体"/>
          <w:snapToGrid/>
          <w:color w:val="auto"/>
          <w:lang w:bidi="ar-SA"/>
        </w:rPr>
      </w:pPr>
    </w:p>
    <w:p w14:paraId="343D7D2E">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2BD8030D">
      <w:pPr>
        <w:widowControl w:val="0"/>
        <w:spacing w:after="120"/>
        <w:jc w:val="both"/>
        <w:rPr>
          <w:rFonts w:hint="eastAsia" w:ascii="宋体" w:hAnsi="宋体" w:eastAsia="宋体" w:cs="宋体"/>
          <w:color w:val="auto"/>
          <w:kern w:val="2"/>
          <w:sz w:val="21"/>
          <w:szCs w:val="24"/>
          <w:lang w:val="en-US" w:eastAsia="zh-CN" w:bidi="ar-SA"/>
        </w:rPr>
      </w:pPr>
    </w:p>
    <w:p w14:paraId="2D60CFE7">
      <w:pPr>
        <w:pStyle w:val="6"/>
        <w:kinsoku/>
        <w:autoSpaceDE/>
        <w:autoSpaceDN/>
        <w:adjustRightInd/>
        <w:snapToGrid/>
        <w:spacing w:line="240" w:lineRule="auto"/>
        <w:rPr>
          <w:rFonts w:hint="eastAsia" w:ascii="宋体" w:hAnsi="宋体" w:eastAsia="宋体" w:cs="宋体"/>
          <w:snapToGrid/>
          <w:color w:val="auto"/>
          <w:lang w:bidi="ar-SA"/>
        </w:rPr>
      </w:pPr>
    </w:p>
    <w:p w14:paraId="7F257DA8">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4B6E439B">
      <w:pPr>
        <w:widowControl w:val="0"/>
        <w:spacing w:after="120"/>
        <w:jc w:val="both"/>
        <w:rPr>
          <w:rFonts w:hint="eastAsia" w:ascii="宋体" w:hAnsi="宋体" w:eastAsia="宋体" w:cs="宋体"/>
          <w:color w:val="auto"/>
          <w:kern w:val="2"/>
          <w:sz w:val="21"/>
          <w:szCs w:val="24"/>
          <w:lang w:val="en-US" w:eastAsia="zh-CN" w:bidi="ar-SA"/>
        </w:rPr>
      </w:pPr>
    </w:p>
    <w:p w14:paraId="1325F03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both"/>
        <w:textAlignment w:val="baseline"/>
        <w:rPr>
          <w:rFonts w:hint="eastAsia" w:ascii="黑体" w:hAnsi="黑体" w:eastAsia="黑体" w:cs="黑体"/>
          <w:color w:val="auto"/>
          <w:spacing w:val="26"/>
          <w:sz w:val="32"/>
          <w:szCs w:val="32"/>
          <w:lang w:val="en-US" w:eastAsia="zh-CN"/>
        </w:rPr>
      </w:pPr>
    </w:p>
    <w:p w14:paraId="6845C58D">
      <w:pPr>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val="en-US" w:eastAsia="zh-CN"/>
        </w:rPr>
        <w:t>五</w:t>
      </w:r>
      <w:r>
        <w:rPr>
          <w:rFonts w:hint="eastAsia" w:ascii="黑体" w:hAnsi="黑体" w:eastAsia="黑体" w:cs="黑体"/>
          <w:color w:val="auto"/>
          <w:spacing w:val="26"/>
          <w:sz w:val="32"/>
          <w:szCs w:val="32"/>
          <w:lang w:eastAsia="zh-CN"/>
        </w:rPr>
        <w:t>、谈判文件提及或供应商认为需要提供的其他材料</w:t>
      </w:r>
    </w:p>
    <w:p w14:paraId="4892F114">
      <w:pP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br w:type="page"/>
      </w:r>
    </w:p>
    <w:p w14:paraId="66622194">
      <w:pPr>
        <w:keepNext w:val="0"/>
        <w:keepLines w:val="0"/>
        <w:pageBreakBefore w:val="0"/>
        <w:shd w:val="clear" w:color="auto" w:fill="FFFFFF"/>
        <w:kinsoku/>
        <w:wordWrap/>
        <w:overflowPunct/>
        <w:topLinePunct w:val="0"/>
        <w:bidi w:val="0"/>
        <w:snapToGrid w:val="0"/>
        <w:spacing w:line="560" w:lineRule="exact"/>
        <w:jc w:val="center"/>
        <w:textAlignment w:val="auto"/>
        <w:outlineLvl w:val="0"/>
        <w:rPr>
          <w:rFonts w:hint="eastAsia" w:ascii="方正小标宋简体" w:hAnsi="方正小标宋简体" w:eastAsia="方正小标宋简体" w:cs="方正小标宋简体"/>
          <w:color w:val="auto"/>
          <w:sz w:val="44"/>
          <w:szCs w:val="44"/>
        </w:rPr>
      </w:pPr>
      <w:bookmarkStart w:id="1" w:name="_Toc217446107"/>
      <w:r>
        <w:rPr>
          <w:rFonts w:hint="eastAsia" w:ascii="方正小标宋简体" w:hAnsi="方正小标宋简体" w:eastAsia="方正小标宋简体" w:cs="方正小标宋简体"/>
          <w:b w:val="0"/>
          <w:bCs/>
          <w:color w:val="auto"/>
          <w:sz w:val="44"/>
          <w:szCs w:val="44"/>
          <w:lang w:val="en-US" w:eastAsia="zh-CN"/>
        </w:rPr>
        <w:t>南江县人民医院XXXX</w:t>
      </w:r>
      <w:r>
        <w:rPr>
          <w:rFonts w:hint="eastAsia" w:ascii="方正小标宋简体" w:hAnsi="方正小标宋简体" w:eastAsia="方正小标宋简体" w:cs="方正小标宋简体"/>
          <w:color w:val="auto"/>
          <w:sz w:val="44"/>
          <w:szCs w:val="44"/>
        </w:rPr>
        <w:t>采购合同</w:t>
      </w:r>
    </w:p>
    <w:bookmarkEnd w:id="1"/>
    <w:p w14:paraId="34CB528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p>
    <w:p w14:paraId="1EA0D10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合同编号：</w:t>
      </w:r>
    </w:p>
    <w:p w14:paraId="783659E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签订地点：</w:t>
      </w:r>
    </w:p>
    <w:p w14:paraId="0DB9F34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签订时间：    年   月   日。</w:t>
      </w:r>
    </w:p>
    <w:p w14:paraId="1A60A32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采购人（甲方）：</w:t>
      </w:r>
    </w:p>
    <w:p w14:paraId="6271D25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供应商（乙方）：</w:t>
      </w:r>
    </w:p>
    <w:p w14:paraId="3AC7797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根据《中华人民共和国政府采购法》《中华人民共和国民法典》及    采购项目（项目编号）的《谈判文件》、乙方的《响应文件》及《成交通知书》，甲、乙双方同意签订本合同。详细技术说明及其他有关合同项目的特定信息由合同附件予以说明，合同附件及本项目的谈判文件、响应文件、《成交通知书》等均为本合同不可分割的部分。双方同意共同遵守如下条款：</w:t>
      </w:r>
    </w:p>
    <w:tbl>
      <w:tblPr>
        <w:tblStyle w:val="11"/>
        <w:tblpPr w:leftFromText="180" w:rightFromText="180" w:vertAnchor="text" w:horzAnchor="page" w:tblpX="1228" w:tblpY="431"/>
        <w:tblOverlap w:val="never"/>
        <w:tblW w:w="51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629"/>
        <w:gridCol w:w="2359"/>
        <w:gridCol w:w="1753"/>
        <w:gridCol w:w="998"/>
        <w:gridCol w:w="1763"/>
      </w:tblGrid>
      <w:tr w14:paraId="4744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04" w:type="pct"/>
            <w:noWrap w:val="0"/>
            <w:vAlign w:val="center"/>
          </w:tcPr>
          <w:p w14:paraId="5E341A1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序号</w:t>
            </w:r>
          </w:p>
        </w:tc>
        <w:tc>
          <w:tcPr>
            <w:tcW w:w="861" w:type="pct"/>
            <w:noWrap w:val="0"/>
            <w:vAlign w:val="center"/>
          </w:tcPr>
          <w:p w14:paraId="5BECBB4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产品名称</w:t>
            </w:r>
          </w:p>
        </w:tc>
        <w:tc>
          <w:tcPr>
            <w:tcW w:w="1247" w:type="pct"/>
            <w:noWrap w:val="0"/>
            <w:vAlign w:val="center"/>
          </w:tcPr>
          <w:p w14:paraId="6A284A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代码</w:t>
            </w:r>
          </w:p>
        </w:tc>
        <w:tc>
          <w:tcPr>
            <w:tcW w:w="926" w:type="pct"/>
            <w:noWrap w:val="0"/>
            <w:vAlign w:val="center"/>
          </w:tcPr>
          <w:p w14:paraId="47A7FAF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包装要求</w:t>
            </w:r>
          </w:p>
        </w:tc>
        <w:tc>
          <w:tcPr>
            <w:tcW w:w="527" w:type="pct"/>
            <w:noWrap w:val="0"/>
            <w:vAlign w:val="center"/>
          </w:tcPr>
          <w:p w14:paraId="01C2D37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数量</w:t>
            </w:r>
          </w:p>
        </w:tc>
        <w:tc>
          <w:tcPr>
            <w:tcW w:w="932" w:type="pct"/>
            <w:noWrap w:val="0"/>
            <w:vAlign w:val="center"/>
          </w:tcPr>
          <w:p w14:paraId="26FA984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单价</w:t>
            </w:r>
          </w:p>
          <w:p w14:paraId="574C9F7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（元）</w:t>
            </w:r>
          </w:p>
        </w:tc>
      </w:tr>
      <w:tr w14:paraId="77BD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4" w:type="pct"/>
            <w:noWrap w:val="0"/>
            <w:vAlign w:val="center"/>
          </w:tcPr>
          <w:p w14:paraId="4FF119D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1</w:t>
            </w:r>
          </w:p>
        </w:tc>
        <w:tc>
          <w:tcPr>
            <w:tcW w:w="861" w:type="pct"/>
            <w:noWrap w:val="0"/>
            <w:vAlign w:val="center"/>
          </w:tcPr>
          <w:p w14:paraId="1E227C1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1247" w:type="pct"/>
            <w:noWrap w:val="0"/>
            <w:vAlign w:val="center"/>
          </w:tcPr>
          <w:p w14:paraId="062D494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926" w:type="pct"/>
            <w:noWrap w:val="0"/>
            <w:vAlign w:val="center"/>
          </w:tcPr>
          <w:p w14:paraId="4A078B8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527" w:type="pct"/>
            <w:noWrap w:val="0"/>
            <w:vAlign w:val="center"/>
          </w:tcPr>
          <w:p w14:paraId="29A61E6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val="en-US" w:eastAsia="zh-CN"/>
              </w:rPr>
            </w:pPr>
          </w:p>
        </w:tc>
        <w:tc>
          <w:tcPr>
            <w:tcW w:w="932" w:type="pct"/>
            <w:noWrap w:val="0"/>
            <w:vAlign w:val="center"/>
          </w:tcPr>
          <w:p w14:paraId="4D4E99D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r>
    </w:tbl>
    <w:p w14:paraId="6CFE9E2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一、合同标的</w:t>
      </w:r>
    </w:p>
    <w:p w14:paraId="71F118C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w:t>
      </w:r>
    </w:p>
    <w:p w14:paraId="7CCC014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二、合同价格：</w:t>
      </w:r>
    </w:p>
    <w:p w14:paraId="6844BBC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本合同价格为固定包干价格，合计人民币 元整（大写： ），该价格包括但不限于：</w:t>
      </w:r>
      <w:r>
        <w:rPr>
          <w:rFonts w:hint="eastAsia" w:ascii="仿宋" w:hAnsi="仿宋" w:eastAsia="仿宋" w:cs="仿宋"/>
          <w:b/>
          <w:bCs/>
          <w:snapToGrid/>
          <w:color w:val="auto"/>
          <w:kern w:val="2"/>
          <w:sz w:val="28"/>
          <w:szCs w:val="28"/>
          <w:lang w:val="en-US" w:eastAsia="zh-CN" w:bidi="ar-SA"/>
        </w:rPr>
        <w:t>含税、人工、包装、收集、装卸、运输、贮存、处置、保险、联单、报备、应急、税费等完成本项目的一切相关费用。</w:t>
      </w:r>
      <w:r>
        <w:rPr>
          <w:rFonts w:hint="eastAsia" w:ascii="仿宋" w:hAnsi="仿宋" w:eastAsia="仿宋" w:cs="仿宋"/>
          <w:snapToGrid/>
          <w:color w:val="auto"/>
          <w:kern w:val="2"/>
          <w:sz w:val="28"/>
          <w:szCs w:val="28"/>
          <w:highlight w:val="none"/>
          <w:lang w:eastAsia="zh-CN"/>
        </w:rPr>
        <w:t>货币结算单位为人民币。本合同执行期内，合同总价不变，甲方无需就本合同约定范围内支付任何额外费用。</w:t>
      </w:r>
    </w:p>
    <w:p w14:paraId="7E85A63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三、主体资格及知识产权承诺</w:t>
      </w:r>
    </w:p>
    <w:p w14:paraId="0CBE4BC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1.乙方应保证其对该软件系统拥有完全的知识产权或已得到权利人的充分授权，并确保向甲方提供的所有资质文件真实合法有效，否则甲方有权解除合同，乙方应在甲方发出解除通知后3日内返还甲方已支付的全部费用，并应向甲方承担由此给甲方造成的全部损失。</w:t>
      </w:r>
    </w:p>
    <w:p w14:paraId="5AE9F2C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2.乙方应保证其拥有该软件系统涉及的包括源代码在内的所有知识产权（如有第三方组件须提供合法授权证明）。如有任何第三方就该软件系统所涉知识产权主张权利，乙方对此承担全部法律责任，并赔偿甲方因此遭受的全部损失。</w:t>
      </w:r>
    </w:p>
    <w:p w14:paraId="1D2C4D0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3.在本合同履行过程中，乙方利用甲方提供的业务数据、需求信息等产生的任何技术成果或改进，其知识产权归甲方所有。</w:t>
      </w:r>
    </w:p>
    <w:p w14:paraId="4AE119B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四、交货时间和地点</w:t>
      </w:r>
    </w:p>
    <w:p w14:paraId="6809B50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highlight w:val="none"/>
          <w:lang w:val="en-US" w:eastAsia="zh-CN"/>
        </w:rPr>
      </w:pPr>
      <w:r>
        <w:rPr>
          <w:rFonts w:hint="eastAsia" w:ascii="仿宋" w:hAnsi="仿宋" w:eastAsia="仿宋" w:cs="仿宋"/>
          <w:snapToGrid/>
          <w:color w:val="auto"/>
          <w:kern w:val="2"/>
          <w:sz w:val="28"/>
          <w:szCs w:val="28"/>
          <w:highlight w:val="none"/>
          <w:lang w:val="en-US" w:eastAsia="zh-CN"/>
        </w:rPr>
        <w:t>按照采购人合同约定完成。</w:t>
      </w:r>
    </w:p>
    <w:p w14:paraId="78FE5E0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黑体" w:hAnsi="黑体" w:eastAsia="黑体" w:cs="黑体"/>
          <w:snapToGrid/>
          <w:color w:val="auto"/>
          <w:kern w:val="2"/>
          <w:sz w:val="28"/>
          <w:szCs w:val="28"/>
          <w:highlight w:val="none"/>
          <w:lang w:val="en-US" w:eastAsia="zh-CN"/>
        </w:rPr>
      </w:pPr>
      <w:r>
        <w:rPr>
          <w:rFonts w:hint="eastAsia" w:ascii="黑体" w:hAnsi="黑体" w:eastAsia="黑体" w:cs="黑体"/>
          <w:snapToGrid/>
          <w:color w:val="auto"/>
          <w:kern w:val="2"/>
          <w:sz w:val="28"/>
          <w:szCs w:val="28"/>
          <w:highlight w:val="none"/>
          <w:lang w:eastAsia="zh-CN"/>
        </w:rPr>
        <w:t>五、</w:t>
      </w:r>
      <w:r>
        <w:rPr>
          <w:rFonts w:hint="eastAsia" w:ascii="黑体" w:hAnsi="黑体" w:eastAsia="黑体" w:cs="黑体"/>
          <w:snapToGrid/>
          <w:color w:val="auto"/>
          <w:kern w:val="2"/>
          <w:sz w:val="28"/>
          <w:szCs w:val="28"/>
          <w:highlight w:val="none"/>
          <w:lang w:val="en-US" w:eastAsia="zh-CN"/>
        </w:rPr>
        <w:t>服务内容</w:t>
      </w:r>
    </w:p>
    <w:p w14:paraId="7CB3D6B9">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服务内容：明确乙方负责收集、贮存、转运、处置甲方产生的危险废物，分别是在线监测设备废液、实验室废液、除臭风机箱活性炭、过期药品、污水处理站污泥，需详细列出各类废物的收集范围、包装要求等。全费用综合包干单价（含税、人工、包装、收集、装卸、运输、贮存、处置、保险、联单、报备、应急、税费等完成本项目的一切相关费用），采购人无额外付费）在合同履行过程中是固定不变的，任何有选择或可调整的报价将不予接受，并按无效响应处理。</w:t>
      </w:r>
    </w:p>
    <w:p w14:paraId="3AD8D32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标准：收集频次根据医院废物产生量合理设定，在线监测设备废液、除臭风机箱活性炭、过期药品、污水处理站等一年收集一次。运输过程要严格遵守危险废物运输相关规定，采用专用运输车辆，配备必要的应急设备，配备有限空间作业防护及检测装备。污水处理站污泥清掏无害化收集、转运、处置，根据院方要求进行处置。</w:t>
      </w:r>
    </w:p>
    <w:p w14:paraId="5D68369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3.服务期限：3年，合同一年一签，考核合格后续签，年度考核不合格终止合同续签。（考核方案详见附件1）</w:t>
      </w:r>
    </w:p>
    <w:p w14:paraId="4E7C13D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4.违约责任：针对乙方未按时收集、运输，或甲方未按约定支付费用等情况，明确双方应承担的违约责任，包括违约金金额、赔偿方式等；</w:t>
      </w:r>
    </w:p>
    <w:p w14:paraId="4452F84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5.保险条款：乙方需购买足额的货物运输保险和环境污染责任保险，保障运输过程中的风险；</w:t>
      </w:r>
    </w:p>
    <w:p w14:paraId="475537D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6.应急处置：制定突发环境事件应急处置预案，明确双方在事故发生时的责任和应急处理流程；</w:t>
      </w:r>
    </w:p>
    <w:p w14:paraId="38A3E2B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7.因中标单位对危险废物转运处置不当造成环保部门行政处罚及罚款事项，由中标单位全额承担。</w:t>
      </w:r>
    </w:p>
    <w:p w14:paraId="4DF9119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六、人员培训</w:t>
      </w:r>
    </w:p>
    <w:p w14:paraId="042AC43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w:t>
      </w:r>
    </w:p>
    <w:p w14:paraId="75594DD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七、</w:t>
      </w:r>
      <w:r>
        <w:rPr>
          <w:rFonts w:hint="eastAsia" w:ascii="黑体" w:hAnsi="黑体" w:eastAsia="黑体" w:cs="黑体"/>
          <w:snapToGrid/>
          <w:color w:val="auto"/>
          <w:kern w:val="2"/>
          <w:sz w:val="28"/>
          <w:szCs w:val="28"/>
          <w:highlight w:val="none"/>
          <w:lang w:val="en-US" w:eastAsia="zh-CN"/>
        </w:rPr>
        <w:t>售后服务</w:t>
      </w:r>
      <w:r>
        <w:rPr>
          <w:rFonts w:hint="eastAsia" w:ascii="黑体" w:hAnsi="黑体" w:eastAsia="黑体" w:cs="黑体"/>
          <w:snapToGrid/>
          <w:color w:val="auto"/>
          <w:kern w:val="2"/>
          <w:sz w:val="28"/>
          <w:szCs w:val="28"/>
          <w:highlight w:val="none"/>
          <w:lang w:eastAsia="zh-CN"/>
        </w:rPr>
        <w:t>：</w:t>
      </w:r>
    </w:p>
    <w:p w14:paraId="13C4F80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（1）乙方设立专属项目对接人及24小时应急联络机制，全天候响应院内突发问题，无节假日、无休班。</w:t>
      </w:r>
    </w:p>
    <w:p w14:paraId="77CE5FA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（2）针对危废泄漏、容器破损、突发堆积、转运异常、污染隐患等突发情况，接到通知后快速到场处置，完成现场清理、消杀、隐患整改，杜绝污染扩散、安全事故发生。</w:t>
      </w:r>
    </w:p>
    <w:p w14:paraId="4E68602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（3）具备完善的应急处置预案，配备齐全的应急防护、堵漏、消杀物资，突发环保检查、安全隐患问题可第一时间协同处置，全程兜底化解风险。</w:t>
      </w:r>
    </w:p>
    <w:p w14:paraId="442CD2D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八、</w:t>
      </w:r>
      <w:r>
        <w:rPr>
          <w:rFonts w:hint="eastAsia" w:ascii="黑体" w:hAnsi="黑体" w:eastAsia="黑体" w:cs="黑体"/>
          <w:snapToGrid/>
          <w:color w:val="auto"/>
          <w:kern w:val="2"/>
          <w:sz w:val="28"/>
          <w:szCs w:val="28"/>
          <w:highlight w:val="none"/>
          <w:lang w:val="en-US" w:eastAsia="zh-CN"/>
        </w:rPr>
        <w:t>验收标准</w:t>
      </w:r>
      <w:r>
        <w:rPr>
          <w:rFonts w:hint="eastAsia" w:ascii="黑体" w:hAnsi="黑体" w:eastAsia="黑体" w:cs="黑体"/>
          <w:snapToGrid/>
          <w:color w:val="auto"/>
          <w:kern w:val="2"/>
          <w:sz w:val="28"/>
          <w:szCs w:val="28"/>
          <w:highlight w:val="none"/>
          <w:lang w:eastAsia="zh-CN"/>
        </w:rPr>
        <w:t>：</w:t>
      </w:r>
    </w:p>
    <w:p w14:paraId="6ACED37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验收标准严格参照政府采购相关法律法规以及《财政部关于进一步加强政府采购需求和履约验收管理的指导意见的通知》（财库〔2016〕205号）、《财政部关于印发〈政府采购需求管理办法&gt;的通知》（财库〔2021〕22号）及《巴中市财政局关于进一步加强政府采购项目合同履约验收管理工作的通知》（巴财采〔2021〕21号）的要求、采购文件的质量要求和技术指标、成交供应商的响应文件及承诺以及合同约定标准进行验收。由甲方组织人员进行最终验收。</w:t>
      </w:r>
    </w:p>
    <w:p w14:paraId="75F30BD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val="en-US" w:eastAsia="zh-CN"/>
        </w:rPr>
        <w:t>九</w:t>
      </w:r>
      <w:r>
        <w:rPr>
          <w:rFonts w:hint="eastAsia" w:ascii="黑体" w:hAnsi="黑体" w:eastAsia="黑体" w:cs="黑体"/>
          <w:snapToGrid/>
          <w:color w:val="auto"/>
          <w:kern w:val="2"/>
          <w:sz w:val="28"/>
          <w:szCs w:val="28"/>
          <w:highlight w:val="none"/>
          <w:lang w:eastAsia="zh-CN"/>
        </w:rPr>
        <w:t>、付款方式</w:t>
      </w:r>
    </w:p>
    <w:p w14:paraId="108AD700">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合同单价为固定包干价，服务期内无特殊政策调整不予变动；按年度据实结算，乙方提交完整资料及合规发票后，甲方按期付款。</w:t>
      </w:r>
    </w:p>
    <w:p w14:paraId="095953F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十、违约责任</w:t>
      </w:r>
    </w:p>
    <w:p w14:paraId="7A82D73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1.甲方违约责任：甲方逾期支付合同价款的，每逾期一日应向乙方偿付应付未付款项万分之五的违约金。逾期超过60日的，乙方有权暂停服务或解除合同。</w:t>
      </w:r>
    </w:p>
    <w:p w14:paraId="26EBFB0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2.乙方逾期交付违约责任：乙方未按约定时间完成交付的，每延迟一日，按合同总价的千分之五向甲方支付违约金；逾期超过60日仍未完成部署或验收不合格的，甲方有权解除合同，乙方除返还全部已收款项外，还应按合同总价的20%支付违约金。</w:t>
      </w:r>
    </w:p>
    <w:p w14:paraId="7DB488C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3.乙方违反维保义务违约责任：乙方未按第八条约定的时限和标准履行维保义务的，每发生一次，应向甲方支付合同总价款2%的违约金。甲方有权委托第三方进行维修，产生的费用全部由乙方承担。</w:t>
      </w:r>
    </w:p>
    <w:p w14:paraId="529931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4.知识产权违约：若因乙方提供的软件系统侵犯他人知识产权，导致甲方无法使用、涉诉或被追究责任，乙方应独立承担全部费用，按本合同第十一条第2款向甲方支付违约金，并赔偿甲方由此遭受的全部其他损失。</w:t>
      </w:r>
    </w:p>
    <w:p w14:paraId="43BBE32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5.损失赔偿范围：任何一方违约，其支付的违约金不足以弥补守约方实际损失的，违约方应予以补足。受偿方为主张权利而支出的全部合理费用，包括但不限于鉴定费、公证费、律师费、诉讼费、保全费、保全担保费等，均由违约方承担。</w:t>
      </w:r>
    </w:p>
    <w:p w14:paraId="0946B1F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一</w:t>
      </w:r>
      <w:r>
        <w:rPr>
          <w:rFonts w:hint="eastAsia" w:ascii="黑体" w:hAnsi="黑体" w:eastAsia="黑体" w:cs="黑体"/>
          <w:snapToGrid/>
          <w:color w:val="auto"/>
          <w:kern w:val="2"/>
          <w:sz w:val="28"/>
          <w:szCs w:val="28"/>
          <w:highlight w:val="none"/>
          <w:lang w:eastAsia="zh-CN"/>
        </w:rPr>
        <w:t>、争议解决</w:t>
      </w:r>
    </w:p>
    <w:p w14:paraId="4AD6FD9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因履行本协议导致的纠纷由甲乙双方本着诚信、友好之原则积极协商，如协商无果，可向甲方所在地人民法院提起诉讼。</w:t>
      </w:r>
    </w:p>
    <w:p w14:paraId="6F9DECB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val="en-US"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二</w:t>
      </w:r>
      <w:r>
        <w:rPr>
          <w:rFonts w:hint="eastAsia" w:ascii="黑体" w:hAnsi="黑体" w:eastAsia="黑体" w:cs="黑体"/>
          <w:snapToGrid/>
          <w:color w:val="auto"/>
          <w:kern w:val="2"/>
          <w:sz w:val="28"/>
          <w:szCs w:val="28"/>
          <w:highlight w:val="none"/>
          <w:lang w:eastAsia="zh-CN"/>
        </w:rPr>
        <w:t>、</w:t>
      </w:r>
      <w:r>
        <w:rPr>
          <w:rFonts w:hint="eastAsia" w:ascii="黑体" w:hAnsi="黑体" w:eastAsia="黑体" w:cs="黑体"/>
          <w:snapToGrid/>
          <w:color w:val="auto"/>
          <w:kern w:val="2"/>
          <w:sz w:val="28"/>
          <w:szCs w:val="28"/>
          <w:highlight w:val="none"/>
          <w:lang w:val="en-US" w:eastAsia="zh-CN"/>
        </w:rPr>
        <w:t>其他</w:t>
      </w:r>
    </w:p>
    <w:p w14:paraId="1CB23AA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本协议一式五份，甲方四份，乙方一份，甲乙双方签字及盖章后生效。</w:t>
      </w:r>
    </w:p>
    <w:p w14:paraId="184C189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三</w:t>
      </w:r>
      <w:r>
        <w:rPr>
          <w:rFonts w:hint="eastAsia" w:ascii="黑体" w:hAnsi="黑体" w:eastAsia="黑体" w:cs="黑体"/>
          <w:snapToGrid/>
          <w:color w:val="auto"/>
          <w:kern w:val="2"/>
          <w:sz w:val="28"/>
          <w:szCs w:val="28"/>
          <w:highlight w:val="none"/>
          <w:lang w:eastAsia="zh-CN"/>
        </w:rPr>
        <w:t>、送达</w:t>
      </w:r>
    </w:p>
    <w:p w14:paraId="16D5A39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eastAsia="zh-CN"/>
        </w:rPr>
      </w:pPr>
      <w:r>
        <w:rPr>
          <w:rFonts w:hint="eastAsia" w:ascii="仿宋" w:hAnsi="仿宋" w:eastAsia="仿宋" w:cs="仿宋"/>
          <w:snapToGrid/>
          <w:color w:val="auto"/>
          <w:kern w:val="2"/>
          <w:sz w:val="28"/>
          <w:szCs w:val="28"/>
          <w:highlight w:val="none"/>
          <w:lang w:eastAsia="zh-CN"/>
        </w:rPr>
        <w:t>甲、乙双方关于本合同履行及相关事宜的通知，以及法院与国家机关因本合同争议发出的通知或司法文书（包括但不限于传票、判决书、裁定书、调解书等），应送达甲乙双方在本合同中提供的地址或在此之后一方以书面形式通知另一方的其他地址。该等通知以专人递送且在收到时视为正式送达，或以邮寄方式寄出后3个工作日后视为正式送达，或以快递方式交付后的第3个工作日视为正式送达。若一方地址发生变动，应及时书面通知另一方，否则仍以本合同载明的文书送达地址为准。</w:t>
      </w:r>
      <w:r>
        <w:rPr>
          <w:rFonts w:hint="eastAsia" w:ascii="仿宋" w:hAnsi="仿宋" w:eastAsia="仿宋" w:cs="仿宋"/>
          <w:snapToGrid/>
          <w:color w:val="auto"/>
          <w:kern w:val="2"/>
          <w:sz w:val="28"/>
          <w:szCs w:val="28"/>
          <w:lang w:eastAsia="zh-CN"/>
        </w:rPr>
        <w:t>。</w:t>
      </w:r>
    </w:p>
    <w:tbl>
      <w:tblPr>
        <w:tblStyle w:val="12"/>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48"/>
        <w:gridCol w:w="4551"/>
      </w:tblGrid>
      <w:tr w14:paraId="3314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499" w:type="pct"/>
            <w:noWrap w:val="0"/>
            <w:vAlign w:val="top"/>
          </w:tcPr>
          <w:p w14:paraId="27C4ED3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甲方：</w:t>
            </w:r>
          </w:p>
          <w:p w14:paraId="5075203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（盖章）</w:t>
            </w:r>
          </w:p>
          <w:p w14:paraId="2113D40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p>
        </w:tc>
        <w:tc>
          <w:tcPr>
            <w:tcW w:w="2500" w:type="pct"/>
            <w:noWrap w:val="0"/>
            <w:vAlign w:val="top"/>
          </w:tcPr>
          <w:p w14:paraId="7EBFA3A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乙方：</w:t>
            </w:r>
          </w:p>
          <w:p w14:paraId="3FF69D6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（盖章）</w:t>
            </w:r>
          </w:p>
          <w:p w14:paraId="5C07B38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p>
        </w:tc>
      </w:tr>
      <w:tr w14:paraId="432F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605AB91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法定代表人（授权代表）：</w:t>
            </w:r>
          </w:p>
        </w:tc>
        <w:tc>
          <w:tcPr>
            <w:tcW w:w="2500" w:type="pct"/>
            <w:noWrap w:val="0"/>
            <w:vAlign w:val="top"/>
          </w:tcPr>
          <w:p w14:paraId="746C20B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法定代表人（授权代表）：</w:t>
            </w:r>
          </w:p>
        </w:tc>
      </w:tr>
      <w:tr w14:paraId="2DD6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4D90933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地址：</w:t>
            </w:r>
          </w:p>
        </w:tc>
        <w:tc>
          <w:tcPr>
            <w:tcW w:w="2500" w:type="pct"/>
            <w:noWrap w:val="0"/>
            <w:vAlign w:val="top"/>
          </w:tcPr>
          <w:p w14:paraId="3E75D62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地址：</w:t>
            </w:r>
          </w:p>
        </w:tc>
      </w:tr>
      <w:tr w14:paraId="14CC4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066BB85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开户银行：</w:t>
            </w:r>
          </w:p>
        </w:tc>
        <w:tc>
          <w:tcPr>
            <w:tcW w:w="2500" w:type="pct"/>
            <w:noWrap w:val="0"/>
            <w:vAlign w:val="top"/>
          </w:tcPr>
          <w:p w14:paraId="3FD716B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开户银行：</w:t>
            </w:r>
          </w:p>
        </w:tc>
      </w:tr>
      <w:tr w14:paraId="4385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25DEDFD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val="en-US" w:eastAsia="zh-CN"/>
              </w:rPr>
              <w:t>银行账户</w:t>
            </w:r>
            <w:r>
              <w:rPr>
                <w:rFonts w:hint="eastAsia" w:ascii="仿宋" w:hAnsi="仿宋" w:eastAsia="仿宋" w:cs="仿宋"/>
                <w:snapToGrid/>
                <w:color w:val="auto"/>
                <w:kern w:val="2"/>
                <w:sz w:val="28"/>
                <w:szCs w:val="28"/>
                <w:highlight w:val="none"/>
                <w:lang w:eastAsia="zh-CN"/>
              </w:rPr>
              <w:t>：</w:t>
            </w:r>
          </w:p>
        </w:tc>
        <w:tc>
          <w:tcPr>
            <w:tcW w:w="2500" w:type="pct"/>
            <w:noWrap w:val="0"/>
            <w:vAlign w:val="top"/>
          </w:tcPr>
          <w:p w14:paraId="15C0F646">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val="en-US" w:eastAsia="zh-CN"/>
              </w:rPr>
              <w:t>银行账户</w:t>
            </w:r>
            <w:r>
              <w:rPr>
                <w:rFonts w:hint="eastAsia" w:ascii="仿宋" w:hAnsi="仿宋" w:eastAsia="仿宋" w:cs="仿宋"/>
                <w:snapToGrid/>
                <w:color w:val="auto"/>
                <w:kern w:val="2"/>
                <w:sz w:val="28"/>
                <w:szCs w:val="28"/>
                <w:highlight w:val="none"/>
                <w:lang w:eastAsia="zh-CN"/>
              </w:rPr>
              <w:t>：</w:t>
            </w:r>
          </w:p>
        </w:tc>
      </w:tr>
      <w:tr w14:paraId="2D3C7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3455EB0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电话：</w:t>
            </w:r>
          </w:p>
        </w:tc>
        <w:tc>
          <w:tcPr>
            <w:tcW w:w="2500" w:type="pct"/>
            <w:noWrap w:val="0"/>
            <w:vAlign w:val="top"/>
          </w:tcPr>
          <w:p w14:paraId="2069A4C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电话：</w:t>
            </w:r>
          </w:p>
        </w:tc>
      </w:tr>
      <w:tr w14:paraId="2A8A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3B23752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lang w:eastAsia="zh-CN"/>
              </w:rPr>
              <w:t>纳税人识别号</w:t>
            </w:r>
          </w:p>
        </w:tc>
        <w:tc>
          <w:tcPr>
            <w:tcW w:w="2500" w:type="pct"/>
            <w:noWrap w:val="0"/>
            <w:vAlign w:val="top"/>
          </w:tcPr>
          <w:p w14:paraId="1A5CEDA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lang w:eastAsia="zh-CN"/>
              </w:rPr>
              <w:t>纳税人识别号：</w:t>
            </w:r>
          </w:p>
        </w:tc>
      </w:tr>
      <w:tr w14:paraId="14BA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18C85FD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val="en-US" w:eastAsia="zh-CN"/>
              </w:rPr>
            </w:pPr>
            <w:r>
              <w:rPr>
                <w:rFonts w:hint="eastAsia" w:ascii="仿宋" w:hAnsi="仿宋" w:eastAsia="仿宋" w:cs="仿宋"/>
                <w:snapToGrid/>
                <w:color w:val="auto"/>
                <w:kern w:val="2"/>
                <w:sz w:val="28"/>
                <w:szCs w:val="28"/>
                <w:highlight w:val="none"/>
                <w:lang w:eastAsia="zh-CN"/>
              </w:rPr>
              <w:t>合同签订日期：</w:t>
            </w:r>
            <w:r>
              <w:rPr>
                <w:rFonts w:hint="eastAsia" w:ascii="仿宋" w:hAnsi="仿宋" w:eastAsia="仿宋" w:cs="仿宋"/>
                <w:snapToGrid/>
                <w:color w:val="auto"/>
                <w:kern w:val="2"/>
                <w:sz w:val="28"/>
                <w:szCs w:val="28"/>
                <w:highlight w:val="none"/>
                <w:lang w:val="en-US" w:eastAsia="zh-CN"/>
              </w:rPr>
              <w:t xml:space="preserve">  年    月    日</w:t>
            </w:r>
          </w:p>
        </w:tc>
        <w:tc>
          <w:tcPr>
            <w:tcW w:w="2500" w:type="pct"/>
            <w:noWrap w:val="0"/>
            <w:vAlign w:val="top"/>
          </w:tcPr>
          <w:p w14:paraId="5A1E713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b/>
                <w:bCs/>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合同签订日期：</w:t>
            </w:r>
            <w:r>
              <w:rPr>
                <w:rFonts w:hint="eastAsia" w:ascii="仿宋" w:hAnsi="仿宋" w:eastAsia="仿宋" w:cs="仿宋"/>
                <w:snapToGrid/>
                <w:color w:val="auto"/>
                <w:kern w:val="2"/>
                <w:sz w:val="28"/>
                <w:szCs w:val="28"/>
                <w:highlight w:val="none"/>
                <w:lang w:val="en-US" w:eastAsia="zh-CN"/>
              </w:rPr>
              <w:t xml:space="preserve">  年    月    日</w:t>
            </w:r>
          </w:p>
        </w:tc>
      </w:tr>
    </w:tbl>
    <w:p w14:paraId="0DE13A6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p>
    <w:p w14:paraId="73F39510">
      <w:pPr>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br w:type="page"/>
      </w:r>
    </w:p>
    <w:p w14:paraId="14F24B8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附件：1</w:t>
      </w:r>
    </w:p>
    <w:p w14:paraId="456102B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p>
    <w:p w14:paraId="5C8E8EB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南江县人民医院危险废物委托收集、贮存、处置服务院内采购项目年度考核方案</w:t>
      </w:r>
    </w:p>
    <w:p w14:paraId="2E59C5E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项目名称： 南江县人民医院危险废物委托收集、贮存、处置服务院内采购项目</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服务期限： 3年（合同一年一签，考核合格后续签）</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编制单位： </w:t>
      </w:r>
      <w:r>
        <w:rPr>
          <w:rFonts w:hint="eastAsia" w:ascii="仿宋" w:hAnsi="仿宋" w:eastAsia="仿宋" w:cs="仿宋"/>
          <w:snapToGrid/>
          <w:color w:val="auto"/>
          <w:kern w:val="2"/>
          <w:sz w:val="28"/>
          <w:szCs w:val="28"/>
          <w:lang w:val="en-US" w:eastAsia="zh-CN"/>
        </w:rPr>
        <w:t>南江县人民医院</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编制日期： 2026年</w:t>
      </w:r>
      <w:r>
        <w:rPr>
          <w:rFonts w:hint="eastAsia" w:ascii="仿宋" w:hAnsi="仿宋" w:eastAsia="仿宋" w:cs="仿宋"/>
          <w:snapToGrid/>
          <w:color w:val="auto"/>
          <w:kern w:val="2"/>
          <w:sz w:val="28"/>
          <w:szCs w:val="28"/>
          <w:lang w:val="en-US" w:eastAsia="zh-CN"/>
        </w:rPr>
        <w:t>8</w:t>
      </w:r>
      <w:r>
        <w:rPr>
          <w:rFonts w:hint="default" w:ascii="仿宋" w:hAnsi="仿宋" w:eastAsia="仿宋" w:cs="仿宋"/>
          <w:snapToGrid/>
          <w:color w:val="auto"/>
          <w:kern w:val="2"/>
          <w:sz w:val="28"/>
          <w:szCs w:val="28"/>
          <w:lang w:val="en-US" w:eastAsia="zh-CN"/>
        </w:rPr>
        <w:t>月</w:t>
      </w:r>
    </w:p>
    <w:p w14:paraId="2F0DC3E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一、考核目的</w:t>
      </w:r>
    </w:p>
    <w:p w14:paraId="064ACB9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为加强对危险废物处置服务质量的监督管理，确保乙方（危险废物处置服务中标单位）严格按照合同约定和国家相关法律法规要求，规范、及时、安全地完成甲方（</w:t>
      </w:r>
      <w:r>
        <w:rPr>
          <w:rFonts w:hint="eastAsia" w:ascii="仿宋" w:hAnsi="仿宋" w:eastAsia="仿宋" w:cs="仿宋"/>
          <w:snapToGrid/>
          <w:color w:val="auto"/>
          <w:kern w:val="2"/>
          <w:sz w:val="28"/>
          <w:szCs w:val="28"/>
          <w:lang w:val="en-US" w:eastAsia="zh-CN"/>
        </w:rPr>
        <w:t>南江县人民医院</w:t>
      </w:r>
      <w:r>
        <w:rPr>
          <w:rFonts w:hint="default" w:ascii="仿宋" w:hAnsi="仿宋" w:eastAsia="仿宋" w:cs="仿宋"/>
          <w:snapToGrid/>
          <w:color w:val="auto"/>
          <w:kern w:val="2"/>
          <w:sz w:val="28"/>
          <w:szCs w:val="28"/>
          <w:lang w:val="en-US" w:eastAsia="zh-CN"/>
        </w:rPr>
        <w:t>）危险废物的收集、贮存、转运、处置工作，特制定本考核方案。</w:t>
      </w:r>
    </w:p>
    <w:p w14:paraId="124E9E3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二、考核对象</w:t>
      </w:r>
    </w:p>
    <w:p w14:paraId="1544BE4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乙方（危险废物处置服务</w:t>
      </w:r>
      <w:r>
        <w:rPr>
          <w:rFonts w:hint="eastAsia" w:ascii="仿宋" w:hAnsi="仿宋" w:eastAsia="仿宋" w:cs="仿宋"/>
          <w:snapToGrid/>
          <w:color w:val="auto"/>
          <w:kern w:val="2"/>
          <w:sz w:val="28"/>
          <w:szCs w:val="28"/>
          <w:lang w:val="en-US" w:eastAsia="zh-CN"/>
        </w:rPr>
        <w:t>中标单位</w:t>
      </w:r>
      <w:r>
        <w:rPr>
          <w:rFonts w:hint="default" w:ascii="仿宋" w:hAnsi="仿宋" w:eastAsia="仿宋" w:cs="仿宋"/>
          <w:snapToGrid/>
          <w:color w:val="auto"/>
          <w:kern w:val="2"/>
          <w:sz w:val="28"/>
          <w:szCs w:val="28"/>
          <w:lang w:val="en-US" w:eastAsia="zh-CN"/>
        </w:rPr>
        <w:t>）。</w:t>
      </w:r>
    </w:p>
    <w:p w14:paraId="6FAF285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三、考核方式</w:t>
      </w:r>
    </w:p>
    <w:p w14:paraId="138C228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（一）考核周期</w:t>
      </w:r>
    </w:p>
    <w:p w14:paraId="41898B9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实行年度考核制度。甲方于每年度合同期满前一个月内对乙方本年度服务质量进行综合考核。</w:t>
      </w:r>
    </w:p>
    <w:p w14:paraId="6E4F1D1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（二）考核组织</w:t>
      </w:r>
    </w:p>
    <w:p w14:paraId="338A610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考核由甲方组织相关部门（如后勤保障科、院感科、环保管理部门等）成立考核小组实施，可采取现场检查、资料审核、台账查阅等方式进行。</w:t>
      </w:r>
    </w:p>
    <w:p w14:paraId="449AE01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（三）评分办法</w:t>
      </w:r>
    </w:p>
    <w:p w14:paraId="378B589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考核实行</w:t>
      </w:r>
      <w:r>
        <w:rPr>
          <w:rFonts w:hint="eastAsia" w:ascii="仿宋" w:hAnsi="仿宋" w:eastAsia="仿宋" w:cs="仿宋"/>
          <w:snapToGrid/>
          <w:color w:val="auto"/>
          <w:kern w:val="2"/>
          <w:sz w:val="28"/>
          <w:szCs w:val="28"/>
          <w:lang w:val="en-US" w:eastAsia="zh-CN"/>
        </w:rPr>
        <w:t>百分制</w:t>
      </w:r>
      <w:r>
        <w:rPr>
          <w:rFonts w:hint="default" w:ascii="仿宋" w:hAnsi="仿宋" w:eastAsia="仿宋" w:cs="仿宋"/>
          <w:snapToGrid/>
          <w:color w:val="auto"/>
          <w:kern w:val="2"/>
          <w:sz w:val="28"/>
          <w:szCs w:val="28"/>
          <w:lang w:val="en-US" w:eastAsia="zh-CN"/>
        </w:rPr>
        <w:t>（满分100分），由考核小组根据各项考核指标逐项打分，汇总得出年度考核总分。</w:t>
      </w:r>
    </w:p>
    <w:p w14:paraId="376A731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四、考核内容及评分细则</w:t>
      </w:r>
    </w:p>
    <w:tbl>
      <w:tblPr>
        <w:tblStyle w:val="11"/>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849"/>
        <w:gridCol w:w="3728"/>
        <w:gridCol w:w="994"/>
        <w:gridCol w:w="2546"/>
      </w:tblGrid>
      <w:tr w14:paraId="6CE7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0" w:type="auto"/>
            <w:shd w:val="clear" w:color="auto" w:fill="auto"/>
            <w:tcMar>
              <w:top w:w="150" w:type="dxa"/>
              <w:left w:w="0" w:type="dxa"/>
              <w:bottom w:w="150" w:type="dxa"/>
              <w:right w:w="240" w:type="dxa"/>
            </w:tcMar>
            <w:vAlign w:val="center"/>
          </w:tcPr>
          <w:p w14:paraId="08560A8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考核项目</w:t>
            </w:r>
          </w:p>
        </w:tc>
        <w:tc>
          <w:tcPr>
            <w:tcW w:w="3728" w:type="dxa"/>
            <w:shd w:val="clear" w:color="auto" w:fill="auto"/>
            <w:tcMar>
              <w:top w:w="150" w:type="dxa"/>
              <w:left w:w="240" w:type="dxa"/>
              <w:bottom w:w="150" w:type="dxa"/>
              <w:right w:w="240" w:type="dxa"/>
            </w:tcMar>
            <w:vAlign w:val="center"/>
          </w:tcPr>
          <w:p w14:paraId="491F899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考核内容</w:t>
            </w:r>
          </w:p>
        </w:tc>
        <w:tc>
          <w:tcPr>
            <w:tcW w:w="994" w:type="dxa"/>
            <w:shd w:val="clear" w:color="auto" w:fill="auto"/>
            <w:tcMar>
              <w:top w:w="150" w:type="dxa"/>
              <w:left w:w="240" w:type="dxa"/>
              <w:bottom w:w="150" w:type="dxa"/>
              <w:right w:w="240" w:type="dxa"/>
            </w:tcMar>
            <w:vAlign w:val="center"/>
          </w:tcPr>
          <w:p w14:paraId="56B905B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分值</w:t>
            </w:r>
          </w:p>
        </w:tc>
        <w:tc>
          <w:tcPr>
            <w:tcW w:w="2546" w:type="dxa"/>
            <w:shd w:val="clear" w:color="auto" w:fill="auto"/>
            <w:tcMar>
              <w:top w:w="150" w:type="dxa"/>
              <w:left w:w="240" w:type="dxa"/>
              <w:bottom w:w="150" w:type="dxa"/>
              <w:right w:w="240" w:type="dxa"/>
            </w:tcMar>
            <w:vAlign w:val="center"/>
          </w:tcPr>
          <w:p w14:paraId="0FCF6A4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评分标准</w:t>
            </w:r>
          </w:p>
        </w:tc>
      </w:tr>
      <w:tr w14:paraId="2B13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02BA77A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一、转运及时性（20分）</w:t>
            </w:r>
          </w:p>
        </w:tc>
        <w:tc>
          <w:tcPr>
            <w:tcW w:w="3728" w:type="dxa"/>
            <w:shd w:val="clear" w:color="auto" w:fill="auto"/>
            <w:tcMar>
              <w:top w:w="150" w:type="dxa"/>
              <w:left w:w="240" w:type="dxa"/>
              <w:bottom w:w="150" w:type="dxa"/>
              <w:right w:w="240" w:type="dxa"/>
            </w:tcMar>
            <w:vAlign w:val="center"/>
          </w:tcPr>
          <w:p w14:paraId="1617AC6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在线监测设备废液按约定时间（1年/次）及时清运</w:t>
            </w:r>
          </w:p>
        </w:tc>
        <w:tc>
          <w:tcPr>
            <w:tcW w:w="994" w:type="dxa"/>
            <w:shd w:val="clear" w:color="auto" w:fill="auto"/>
            <w:tcMar>
              <w:top w:w="150" w:type="dxa"/>
              <w:left w:w="240" w:type="dxa"/>
              <w:bottom w:w="150" w:type="dxa"/>
              <w:right w:w="240" w:type="dxa"/>
            </w:tcMar>
            <w:vAlign w:val="center"/>
          </w:tcPr>
          <w:p w14:paraId="137C858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83B13A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3869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3193AB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2E1DE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实验室废液按约定时间及时清运</w:t>
            </w:r>
          </w:p>
        </w:tc>
        <w:tc>
          <w:tcPr>
            <w:tcW w:w="994" w:type="dxa"/>
            <w:shd w:val="clear" w:color="auto" w:fill="auto"/>
            <w:tcMar>
              <w:top w:w="150" w:type="dxa"/>
              <w:left w:w="240" w:type="dxa"/>
              <w:bottom w:w="150" w:type="dxa"/>
              <w:right w:w="240" w:type="dxa"/>
            </w:tcMar>
            <w:vAlign w:val="center"/>
          </w:tcPr>
          <w:p w14:paraId="63463D8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30156A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1909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78FCA6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0C5EC3D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废活性炭按约定时间（1年/次）及时清运</w:t>
            </w:r>
          </w:p>
        </w:tc>
        <w:tc>
          <w:tcPr>
            <w:tcW w:w="994" w:type="dxa"/>
            <w:shd w:val="clear" w:color="auto" w:fill="auto"/>
            <w:tcMar>
              <w:top w:w="150" w:type="dxa"/>
              <w:left w:w="240" w:type="dxa"/>
              <w:bottom w:w="150" w:type="dxa"/>
              <w:right w:w="240" w:type="dxa"/>
            </w:tcMar>
            <w:vAlign w:val="center"/>
          </w:tcPr>
          <w:p w14:paraId="054BD03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83E4AA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600A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632140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37666B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过期药品按约定时间（1年/次）及时清运</w:t>
            </w:r>
          </w:p>
        </w:tc>
        <w:tc>
          <w:tcPr>
            <w:tcW w:w="994" w:type="dxa"/>
            <w:shd w:val="clear" w:color="auto" w:fill="auto"/>
            <w:tcMar>
              <w:top w:w="150" w:type="dxa"/>
              <w:left w:w="240" w:type="dxa"/>
              <w:bottom w:w="150" w:type="dxa"/>
              <w:right w:w="240" w:type="dxa"/>
            </w:tcMar>
            <w:vAlign w:val="center"/>
          </w:tcPr>
          <w:p w14:paraId="06FE77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4B42D9E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3058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6419F8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68D542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污水处理站污泥按院方要求及时清掏、清运</w:t>
            </w:r>
          </w:p>
        </w:tc>
        <w:tc>
          <w:tcPr>
            <w:tcW w:w="994" w:type="dxa"/>
            <w:shd w:val="clear" w:color="auto" w:fill="auto"/>
            <w:tcMar>
              <w:top w:w="150" w:type="dxa"/>
              <w:left w:w="240" w:type="dxa"/>
              <w:bottom w:w="150" w:type="dxa"/>
              <w:right w:w="240" w:type="dxa"/>
            </w:tcMar>
            <w:vAlign w:val="center"/>
          </w:tcPr>
          <w:p w14:paraId="2C1611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08C0816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未按要求及时清掏扣2分；清运延迟一次扣2分</w:t>
            </w:r>
          </w:p>
        </w:tc>
      </w:tr>
      <w:tr w14:paraId="60D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210A00C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二、运输规范性（15分）</w:t>
            </w:r>
          </w:p>
        </w:tc>
        <w:tc>
          <w:tcPr>
            <w:tcW w:w="3728" w:type="dxa"/>
            <w:shd w:val="clear" w:color="auto" w:fill="auto"/>
            <w:tcMar>
              <w:top w:w="150" w:type="dxa"/>
              <w:left w:w="240" w:type="dxa"/>
              <w:bottom w:w="150" w:type="dxa"/>
              <w:right w:w="240" w:type="dxa"/>
            </w:tcMar>
            <w:vAlign w:val="center"/>
          </w:tcPr>
          <w:p w14:paraId="5D734A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采用专用运输车辆，车辆符合危险废物运输要求</w:t>
            </w:r>
          </w:p>
        </w:tc>
        <w:tc>
          <w:tcPr>
            <w:tcW w:w="994" w:type="dxa"/>
            <w:shd w:val="clear" w:color="auto" w:fill="auto"/>
            <w:tcMar>
              <w:top w:w="150" w:type="dxa"/>
              <w:left w:w="240" w:type="dxa"/>
              <w:bottom w:w="150" w:type="dxa"/>
              <w:right w:w="240" w:type="dxa"/>
            </w:tcMar>
            <w:vAlign w:val="center"/>
          </w:tcPr>
          <w:p w14:paraId="357653A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1D2609C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使用不符合要求车辆运输一次扣3分</w:t>
            </w:r>
          </w:p>
        </w:tc>
      </w:tr>
      <w:tr w14:paraId="3321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4A15A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ED4748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运输过</w:t>
            </w:r>
            <w:r>
              <w:rPr>
                <w:rFonts w:hint="eastAsia" w:ascii="仿宋" w:hAnsi="仿宋" w:eastAsia="仿宋" w:cs="仿宋"/>
                <w:snapToGrid/>
                <w:color w:val="auto"/>
                <w:kern w:val="2"/>
                <w:sz w:val="28"/>
                <w:szCs w:val="28"/>
                <w:lang w:val="en-US" w:eastAsia="zh-CN"/>
              </w:rPr>
              <w:t>程中</w:t>
            </w:r>
            <w:r>
              <w:rPr>
                <w:rFonts w:hint="default" w:ascii="仿宋" w:hAnsi="仿宋" w:eastAsia="仿宋" w:cs="仿宋"/>
                <w:snapToGrid/>
                <w:color w:val="auto"/>
                <w:kern w:val="2"/>
                <w:sz w:val="28"/>
                <w:szCs w:val="28"/>
                <w:lang w:val="en-US" w:eastAsia="zh-CN"/>
              </w:rPr>
              <w:t>严格遵守危险废物运输相关规定</w:t>
            </w:r>
          </w:p>
        </w:tc>
        <w:tc>
          <w:tcPr>
            <w:tcW w:w="994" w:type="dxa"/>
            <w:shd w:val="clear" w:color="auto" w:fill="auto"/>
            <w:tcMar>
              <w:top w:w="150" w:type="dxa"/>
              <w:left w:w="240" w:type="dxa"/>
              <w:bottom w:w="150" w:type="dxa"/>
              <w:right w:w="240" w:type="dxa"/>
            </w:tcMar>
            <w:vAlign w:val="center"/>
          </w:tcPr>
          <w:p w14:paraId="53AB20E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58DBB3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违反运输规定一次扣3分；发生遗撒、泄漏一次扣5分</w:t>
            </w:r>
          </w:p>
        </w:tc>
      </w:tr>
      <w:tr w14:paraId="583D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F374D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7167900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运输车辆配备必要的应急设备</w:t>
            </w:r>
          </w:p>
        </w:tc>
        <w:tc>
          <w:tcPr>
            <w:tcW w:w="994" w:type="dxa"/>
            <w:shd w:val="clear" w:color="auto" w:fill="auto"/>
            <w:tcMar>
              <w:top w:w="150" w:type="dxa"/>
              <w:left w:w="240" w:type="dxa"/>
              <w:bottom w:w="150" w:type="dxa"/>
              <w:right w:w="240" w:type="dxa"/>
            </w:tcMar>
            <w:vAlign w:val="center"/>
          </w:tcPr>
          <w:p w14:paraId="5350E30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89D973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未配备应急设备扣2分；设备不全扣1分</w:t>
            </w:r>
          </w:p>
        </w:tc>
      </w:tr>
      <w:tr w14:paraId="32DC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330DF5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A6733A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配备有限空间作业防护及检测装备（污泥清掏作业）</w:t>
            </w:r>
          </w:p>
        </w:tc>
        <w:tc>
          <w:tcPr>
            <w:tcW w:w="994" w:type="dxa"/>
            <w:shd w:val="clear" w:color="auto" w:fill="auto"/>
            <w:tcMar>
              <w:top w:w="150" w:type="dxa"/>
              <w:left w:w="240" w:type="dxa"/>
              <w:bottom w:w="150" w:type="dxa"/>
              <w:right w:w="240" w:type="dxa"/>
            </w:tcMar>
            <w:vAlign w:val="center"/>
          </w:tcPr>
          <w:p w14:paraId="72028D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66A775E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未配备或装备不合格扣2分</w:t>
            </w:r>
          </w:p>
        </w:tc>
      </w:tr>
      <w:tr w14:paraId="7932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shd w:val="clear" w:color="auto" w:fill="auto"/>
            <w:tcMar>
              <w:top w:w="150" w:type="dxa"/>
              <w:left w:w="0" w:type="dxa"/>
              <w:bottom w:w="150" w:type="dxa"/>
              <w:right w:w="240" w:type="dxa"/>
            </w:tcMar>
            <w:vAlign w:val="center"/>
          </w:tcPr>
          <w:p w14:paraId="3049B3F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三、包装与贮存管理（15分）</w:t>
            </w:r>
          </w:p>
        </w:tc>
        <w:tc>
          <w:tcPr>
            <w:tcW w:w="3728" w:type="dxa"/>
            <w:shd w:val="clear" w:color="auto" w:fill="auto"/>
            <w:tcMar>
              <w:top w:w="150" w:type="dxa"/>
              <w:left w:w="240" w:type="dxa"/>
              <w:bottom w:w="150" w:type="dxa"/>
              <w:right w:w="240" w:type="dxa"/>
            </w:tcMar>
            <w:vAlign w:val="center"/>
          </w:tcPr>
          <w:p w14:paraId="219E46A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各类废物包装符合合同约定的包装要求（专用容器、密封良好、防渗防漏）</w:t>
            </w:r>
          </w:p>
        </w:tc>
        <w:tc>
          <w:tcPr>
            <w:tcW w:w="994" w:type="dxa"/>
            <w:shd w:val="clear" w:color="auto" w:fill="auto"/>
            <w:tcMar>
              <w:top w:w="150" w:type="dxa"/>
              <w:left w:w="240" w:type="dxa"/>
              <w:bottom w:w="150" w:type="dxa"/>
              <w:right w:w="240" w:type="dxa"/>
            </w:tcMar>
            <w:vAlign w:val="center"/>
          </w:tcPr>
          <w:p w14:paraId="699B391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6分</w:t>
            </w:r>
          </w:p>
        </w:tc>
        <w:tc>
          <w:tcPr>
            <w:tcW w:w="2546" w:type="dxa"/>
            <w:shd w:val="clear" w:color="auto" w:fill="auto"/>
            <w:tcMar>
              <w:top w:w="150" w:type="dxa"/>
              <w:left w:w="240" w:type="dxa"/>
              <w:bottom w:w="150" w:type="dxa"/>
              <w:right w:w="0" w:type="dxa"/>
            </w:tcMar>
            <w:vAlign w:val="center"/>
          </w:tcPr>
          <w:p w14:paraId="54DB32F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包装不符合要求发现一次扣2分</w:t>
            </w:r>
          </w:p>
        </w:tc>
      </w:tr>
      <w:tr w14:paraId="429E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12DD945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BD3110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包装容器外粘贴规范的危险废物识别标志（标签完整、信息准确）</w:t>
            </w:r>
          </w:p>
        </w:tc>
        <w:tc>
          <w:tcPr>
            <w:tcW w:w="994" w:type="dxa"/>
            <w:shd w:val="clear" w:color="auto" w:fill="auto"/>
            <w:tcMar>
              <w:top w:w="150" w:type="dxa"/>
              <w:left w:w="240" w:type="dxa"/>
              <w:bottom w:w="150" w:type="dxa"/>
              <w:right w:w="240" w:type="dxa"/>
            </w:tcMar>
            <w:vAlign w:val="center"/>
          </w:tcPr>
          <w:p w14:paraId="5996902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AB382C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标签缺失或信息不完整发现一处扣1分</w:t>
            </w:r>
          </w:p>
        </w:tc>
      </w:tr>
      <w:tr w14:paraId="4AD8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2A33D6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3A2392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性质不相容的废物分类包装、不混合存放</w:t>
            </w:r>
          </w:p>
        </w:tc>
        <w:tc>
          <w:tcPr>
            <w:tcW w:w="994" w:type="dxa"/>
            <w:shd w:val="clear" w:color="auto" w:fill="auto"/>
            <w:tcMar>
              <w:top w:w="150" w:type="dxa"/>
              <w:left w:w="240" w:type="dxa"/>
              <w:bottom w:w="150" w:type="dxa"/>
              <w:right w:w="240" w:type="dxa"/>
            </w:tcMar>
            <w:vAlign w:val="center"/>
          </w:tcPr>
          <w:p w14:paraId="302ED03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B593C2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发现混装混存一次扣3分</w:t>
            </w:r>
          </w:p>
        </w:tc>
      </w:tr>
      <w:tr w14:paraId="65D7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0E821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116614A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包装容器装容量不超过规定标准（不超过容器容积的3/4）</w:t>
            </w:r>
          </w:p>
        </w:tc>
        <w:tc>
          <w:tcPr>
            <w:tcW w:w="994" w:type="dxa"/>
            <w:shd w:val="clear" w:color="auto" w:fill="auto"/>
            <w:tcMar>
              <w:top w:w="150" w:type="dxa"/>
              <w:left w:w="240" w:type="dxa"/>
              <w:bottom w:w="150" w:type="dxa"/>
              <w:right w:w="240" w:type="dxa"/>
            </w:tcMar>
            <w:vAlign w:val="center"/>
          </w:tcPr>
          <w:p w14:paraId="7A470A7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5489A1A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超容量装盛发现一次扣1分</w:t>
            </w:r>
          </w:p>
        </w:tc>
      </w:tr>
      <w:tr w14:paraId="664F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shd w:val="clear" w:color="auto" w:fill="auto"/>
            <w:tcMar>
              <w:top w:w="150" w:type="dxa"/>
              <w:left w:w="0" w:type="dxa"/>
              <w:bottom w:w="150" w:type="dxa"/>
              <w:right w:w="240" w:type="dxa"/>
            </w:tcMar>
            <w:vAlign w:val="center"/>
          </w:tcPr>
          <w:p w14:paraId="6B8E202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四、台账与联单管理（15分）</w:t>
            </w:r>
          </w:p>
        </w:tc>
        <w:tc>
          <w:tcPr>
            <w:tcW w:w="3728" w:type="dxa"/>
            <w:shd w:val="clear" w:color="auto" w:fill="auto"/>
            <w:tcMar>
              <w:top w:w="150" w:type="dxa"/>
              <w:left w:w="240" w:type="dxa"/>
              <w:bottom w:w="150" w:type="dxa"/>
              <w:right w:w="240" w:type="dxa"/>
            </w:tcMar>
            <w:vAlign w:val="center"/>
          </w:tcPr>
          <w:p w14:paraId="376A1AA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危险废物转移联单如实、完整、规范填写和运行</w:t>
            </w:r>
          </w:p>
        </w:tc>
        <w:tc>
          <w:tcPr>
            <w:tcW w:w="994" w:type="dxa"/>
            <w:shd w:val="clear" w:color="auto" w:fill="auto"/>
            <w:tcMar>
              <w:top w:w="150" w:type="dxa"/>
              <w:left w:w="240" w:type="dxa"/>
              <w:bottom w:w="150" w:type="dxa"/>
              <w:right w:w="240" w:type="dxa"/>
            </w:tcMar>
            <w:vAlign w:val="center"/>
          </w:tcPr>
          <w:p w14:paraId="6E53483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07CA2E4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联单填写不规范或漏填一处扣1分</w:t>
            </w:r>
          </w:p>
        </w:tc>
      </w:tr>
      <w:tr w14:paraId="202F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54FAE26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5BD8622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联单及时报送，交接登记资料完整</w:t>
            </w:r>
          </w:p>
        </w:tc>
        <w:tc>
          <w:tcPr>
            <w:tcW w:w="994" w:type="dxa"/>
            <w:shd w:val="clear" w:color="auto" w:fill="auto"/>
            <w:tcMar>
              <w:top w:w="150" w:type="dxa"/>
              <w:left w:w="240" w:type="dxa"/>
              <w:bottom w:w="150" w:type="dxa"/>
              <w:right w:w="240" w:type="dxa"/>
            </w:tcMar>
            <w:vAlign w:val="center"/>
          </w:tcPr>
          <w:p w14:paraId="7D8A54C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677573F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联单报送延迟一次扣1分；登记资料不完整扣2分</w:t>
            </w:r>
          </w:p>
        </w:tc>
      </w:tr>
      <w:tr w14:paraId="45F3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54243F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19ADB38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建立完整的危险废物经营情况记录簿（台账）</w:t>
            </w:r>
          </w:p>
        </w:tc>
        <w:tc>
          <w:tcPr>
            <w:tcW w:w="994" w:type="dxa"/>
            <w:shd w:val="clear" w:color="auto" w:fill="auto"/>
            <w:tcMar>
              <w:top w:w="150" w:type="dxa"/>
              <w:left w:w="240" w:type="dxa"/>
              <w:bottom w:w="150" w:type="dxa"/>
              <w:right w:w="240" w:type="dxa"/>
            </w:tcMar>
            <w:vAlign w:val="center"/>
          </w:tcPr>
          <w:p w14:paraId="76661B8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6CF8389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未建立台账扣4分；台账记录不完整扣2分</w:t>
            </w:r>
          </w:p>
        </w:tc>
      </w:tr>
      <w:tr w14:paraId="2FD8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2BA92A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ACB8DF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按规定通过国家危险废物信息管理系统申报相关信息</w:t>
            </w:r>
          </w:p>
        </w:tc>
        <w:tc>
          <w:tcPr>
            <w:tcW w:w="994" w:type="dxa"/>
            <w:shd w:val="clear" w:color="auto" w:fill="auto"/>
            <w:tcMar>
              <w:top w:w="150" w:type="dxa"/>
              <w:left w:w="240" w:type="dxa"/>
              <w:bottom w:w="150" w:type="dxa"/>
              <w:right w:w="240" w:type="dxa"/>
            </w:tcMar>
            <w:vAlign w:val="center"/>
          </w:tcPr>
          <w:p w14:paraId="536D247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2ACB81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未按要求申报扣2分</w:t>
            </w:r>
          </w:p>
        </w:tc>
      </w:tr>
      <w:tr w14:paraId="6ED2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7BA1E82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五、处置规范与环保合规（15分）</w:t>
            </w:r>
          </w:p>
        </w:tc>
        <w:tc>
          <w:tcPr>
            <w:tcW w:w="3728" w:type="dxa"/>
            <w:shd w:val="clear" w:color="auto" w:fill="auto"/>
            <w:tcMar>
              <w:top w:w="150" w:type="dxa"/>
              <w:left w:w="240" w:type="dxa"/>
              <w:bottom w:w="150" w:type="dxa"/>
              <w:right w:w="240" w:type="dxa"/>
            </w:tcMar>
            <w:vAlign w:val="center"/>
          </w:tcPr>
          <w:p w14:paraId="3D0420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危险废物处置符合国家和地方相关标准规范</w:t>
            </w:r>
          </w:p>
        </w:tc>
        <w:tc>
          <w:tcPr>
            <w:tcW w:w="994" w:type="dxa"/>
            <w:shd w:val="clear" w:color="auto" w:fill="auto"/>
            <w:tcMar>
              <w:top w:w="150" w:type="dxa"/>
              <w:left w:w="240" w:type="dxa"/>
              <w:bottom w:w="150" w:type="dxa"/>
              <w:right w:w="240" w:type="dxa"/>
            </w:tcMar>
            <w:vAlign w:val="center"/>
          </w:tcPr>
          <w:p w14:paraId="4550E31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69EF06C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处置不合规扣5分</w:t>
            </w:r>
          </w:p>
        </w:tc>
      </w:tr>
      <w:tr w14:paraId="2037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DD6776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541CA9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处置完成后按时向甲方提供处置证明（检测合格报告、处置台账、转移联单等）</w:t>
            </w:r>
          </w:p>
        </w:tc>
        <w:tc>
          <w:tcPr>
            <w:tcW w:w="994" w:type="dxa"/>
            <w:shd w:val="clear" w:color="auto" w:fill="auto"/>
            <w:tcMar>
              <w:top w:w="150" w:type="dxa"/>
              <w:left w:w="240" w:type="dxa"/>
              <w:bottom w:w="150" w:type="dxa"/>
              <w:right w:w="240" w:type="dxa"/>
            </w:tcMar>
            <w:vAlign w:val="center"/>
          </w:tcPr>
          <w:p w14:paraId="77E0E3D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2F65804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未按时提供扣2分；证明不完整扣1分</w:t>
            </w:r>
          </w:p>
        </w:tc>
      </w:tr>
      <w:tr w14:paraId="6766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6A20001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F45FE4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处置设施环保手续齐全，符合运行环境管理要求</w:t>
            </w:r>
          </w:p>
        </w:tc>
        <w:tc>
          <w:tcPr>
            <w:tcW w:w="994" w:type="dxa"/>
            <w:shd w:val="clear" w:color="auto" w:fill="auto"/>
            <w:tcMar>
              <w:top w:w="150" w:type="dxa"/>
              <w:left w:w="240" w:type="dxa"/>
              <w:bottom w:w="150" w:type="dxa"/>
              <w:right w:w="240" w:type="dxa"/>
            </w:tcMar>
            <w:vAlign w:val="center"/>
          </w:tcPr>
          <w:p w14:paraId="77E8B1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7728F5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环保手续不全扣3分</w:t>
            </w:r>
          </w:p>
        </w:tc>
      </w:tr>
      <w:tr w14:paraId="37F0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5BF90A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509FDE5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处置过程无二次污染，无害化处置达标</w:t>
            </w:r>
          </w:p>
        </w:tc>
        <w:tc>
          <w:tcPr>
            <w:tcW w:w="994" w:type="dxa"/>
            <w:shd w:val="clear" w:color="auto" w:fill="auto"/>
            <w:tcMar>
              <w:top w:w="150" w:type="dxa"/>
              <w:left w:w="240" w:type="dxa"/>
              <w:bottom w:w="150" w:type="dxa"/>
              <w:right w:w="240" w:type="dxa"/>
            </w:tcMar>
            <w:vAlign w:val="center"/>
          </w:tcPr>
          <w:p w14:paraId="2C3971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077DBBD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造成二次污染扣3分</w:t>
            </w:r>
          </w:p>
        </w:tc>
      </w:tr>
      <w:tr w14:paraId="58DA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393922F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六、服务配合与响应（10分）</w:t>
            </w:r>
          </w:p>
        </w:tc>
        <w:tc>
          <w:tcPr>
            <w:tcW w:w="3728" w:type="dxa"/>
            <w:shd w:val="clear" w:color="auto" w:fill="auto"/>
            <w:tcMar>
              <w:top w:w="150" w:type="dxa"/>
              <w:left w:w="240" w:type="dxa"/>
              <w:bottom w:w="150" w:type="dxa"/>
              <w:right w:w="240" w:type="dxa"/>
            </w:tcMar>
            <w:vAlign w:val="center"/>
          </w:tcPr>
          <w:p w14:paraId="1F23D61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积极配合甲方办理危险废物转移手续，提供相关资料</w:t>
            </w:r>
          </w:p>
        </w:tc>
        <w:tc>
          <w:tcPr>
            <w:tcW w:w="994" w:type="dxa"/>
            <w:shd w:val="clear" w:color="auto" w:fill="auto"/>
            <w:tcMar>
              <w:top w:w="150" w:type="dxa"/>
              <w:left w:w="240" w:type="dxa"/>
              <w:bottom w:w="150" w:type="dxa"/>
              <w:right w:w="240" w:type="dxa"/>
            </w:tcMar>
            <w:vAlign w:val="center"/>
          </w:tcPr>
          <w:p w14:paraId="08FE5D4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6E87A8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不配合办理扣2分；资料提供不及时扣1分</w:t>
            </w:r>
          </w:p>
        </w:tc>
      </w:tr>
      <w:tr w14:paraId="0ED3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DDF8C1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0EDF55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服务态度良好，沟通及时有效</w:t>
            </w:r>
          </w:p>
        </w:tc>
        <w:tc>
          <w:tcPr>
            <w:tcW w:w="994" w:type="dxa"/>
            <w:shd w:val="clear" w:color="auto" w:fill="auto"/>
            <w:tcMar>
              <w:top w:w="150" w:type="dxa"/>
              <w:left w:w="240" w:type="dxa"/>
              <w:bottom w:w="150" w:type="dxa"/>
              <w:right w:w="240" w:type="dxa"/>
            </w:tcMar>
            <w:vAlign w:val="center"/>
          </w:tcPr>
          <w:p w14:paraId="3DA6D63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657490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服务态度差或沟通不畅扣1</w:t>
            </w:r>
            <w:r>
              <w:rPr>
                <w:rFonts w:hint="eastAsia" w:ascii="仿宋" w:hAnsi="仿宋" w:eastAsia="仿宋" w:cs="仿宋"/>
                <w:snapToGrid/>
                <w:color w:val="auto"/>
                <w:kern w:val="2"/>
                <w:sz w:val="28"/>
                <w:szCs w:val="28"/>
                <w:lang w:val="en-US" w:eastAsia="zh-CN"/>
              </w:rPr>
              <w:t>—</w:t>
            </w:r>
            <w:r>
              <w:rPr>
                <w:rFonts w:hint="default" w:ascii="仿宋" w:hAnsi="仿宋" w:eastAsia="仿宋" w:cs="仿宋"/>
                <w:snapToGrid/>
                <w:color w:val="auto"/>
                <w:kern w:val="2"/>
                <w:sz w:val="28"/>
                <w:szCs w:val="28"/>
                <w:lang w:val="en-US" w:eastAsia="zh-CN"/>
              </w:rPr>
              <w:t>2分</w:t>
            </w:r>
          </w:p>
        </w:tc>
      </w:tr>
      <w:tr w14:paraId="164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574309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E3D2B5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对甲方的合理要求（如临时增加清运频次等）能及时响应</w:t>
            </w:r>
          </w:p>
        </w:tc>
        <w:tc>
          <w:tcPr>
            <w:tcW w:w="994" w:type="dxa"/>
            <w:shd w:val="clear" w:color="auto" w:fill="auto"/>
            <w:tcMar>
              <w:top w:w="150" w:type="dxa"/>
              <w:left w:w="240" w:type="dxa"/>
              <w:bottom w:w="150" w:type="dxa"/>
              <w:right w:w="240" w:type="dxa"/>
            </w:tcMar>
            <w:vAlign w:val="center"/>
          </w:tcPr>
          <w:p w14:paraId="3D95070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4DA8269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未及时响应一次扣1.5分</w:t>
            </w:r>
          </w:p>
        </w:tc>
      </w:tr>
      <w:tr w14:paraId="784D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E76E60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693446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人员变更提前书面通知甲方并征得同意</w:t>
            </w:r>
          </w:p>
        </w:tc>
        <w:tc>
          <w:tcPr>
            <w:tcW w:w="994" w:type="dxa"/>
            <w:shd w:val="clear" w:color="auto" w:fill="auto"/>
            <w:tcMar>
              <w:top w:w="150" w:type="dxa"/>
              <w:left w:w="240" w:type="dxa"/>
              <w:bottom w:w="150" w:type="dxa"/>
              <w:right w:w="240" w:type="dxa"/>
            </w:tcMar>
            <w:vAlign w:val="center"/>
          </w:tcPr>
          <w:p w14:paraId="67D366C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0D8C57F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未提前通知一次扣1分</w:t>
            </w:r>
          </w:p>
        </w:tc>
      </w:tr>
      <w:tr w14:paraId="115A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47CA212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七、资质合规与安全管理（10分）</w:t>
            </w:r>
          </w:p>
        </w:tc>
        <w:tc>
          <w:tcPr>
            <w:tcW w:w="3728" w:type="dxa"/>
            <w:shd w:val="clear" w:color="auto" w:fill="auto"/>
            <w:tcMar>
              <w:top w:w="150" w:type="dxa"/>
              <w:left w:w="240" w:type="dxa"/>
              <w:bottom w:w="150" w:type="dxa"/>
              <w:right w:w="240" w:type="dxa"/>
            </w:tcMar>
            <w:vAlign w:val="center"/>
          </w:tcPr>
          <w:p w14:paraId="7042270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危险废物经营许可证持续合法有效</w:t>
            </w:r>
          </w:p>
        </w:tc>
        <w:tc>
          <w:tcPr>
            <w:tcW w:w="994" w:type="dxa"/>
            <w:shd w:val="clear" w:color="auto" w:fill="auto"/>
            <w:tcMar>
              <w:top w:w="150" w:type="dxa"/>
              <w:left w:w="240" w:type="dxa"/>
              <w:bottom w:w="150" w:type="dxa"/>
              <w:right w:w="240" w:type="dxa"/>
            </w:tcMar>
            <w:vAlign w:val="center"/>
          </w:tcPr>
          <w:p w14:paraId="4F8935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0A1E7B4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许可证失效扣3分；未及时提交新资质扣1分</w:t>
            </w:r>
          </w:p>
        </w:tc>
      </w:tr>
      <w:tr w14:paraId="3039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828152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4CDC8C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道路危险货物运输许可证持续合法有效</w:t>
            </w:r>
          </w:p>
        </w:tc>
        <w:tc>
          <w:tcPr>
            <w:tcW w:w="994" w:type="dxa"/>
            <w:shd w:val="clear" w:color="auto" w:fill="auto"/>
            <w:tcMar>
              <w:top w:w="150" w:type="dxa"/>
              <w:left w:w="240" w:type="dxa"/>
              <w:bottom w:w="150" w:type="dxa"/>
              <w:right w:w="240" w:type="dxa"/>
            </w:tcMar>
            <w:vAlign w:val="center"/>
          </w:tcPr>
          <w:p w14:paraId="7E0A2BF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0C53001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许可证失效扣2分</w:t>
            </w:r>
          </w:p>
        </w:tc>
      </w:tr>
      <w:tr w14:paraId="71F7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76DD34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CDB8B7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建立环保管理制度和突发环境事件应急预案</w:t>
            </w:r>
          </w:p>
        </w:tc>
        <w:tc>
          <w:tcPr>
            <w:tcW w:w="994" w:type="dxa"/>
            <w:shd w:val="clear" w:color="auto" w:fill="auto"/>
            <w:tcMar>
              <w:top w:w="150" w:type="dxa"/>
              <w:left w:w="240" w:type="dxa"/>
              <w:bottom w:w="150" w:type="dxa"/>
              <w:right w:w="240" w:type="dxa"/>
            </w:tcMar>
            <w:vAlign w:val="center"/>
          </w:tcPr>
          <w:p w14:paraId="1C65EC9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1E9A27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未建立扣2分；制度不完善扣1分</w:t>
            </w:r>
          </w:p>
        </w:tc>
      </w:tr>
      <w:tr w14:paraId="17C7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AAC3A3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D89810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按规定开展应急演练，配置应急防护设施设备</w:t>
            </w:r>
          </w:p>
        </w:tc>
        <w:tc>
          <w:tcPr>
            <w:tcW w:w="994" w:type="dxa"/>
            <w:shd w:val="clear" w:color="auto" w:fill="auto"/>
            <w:tcMar>
              <w:top w:w="150" w:type="dxa"/>
              <w:left w:w="240" w:type="dxa"/>
              <w:bottom w:w="150" w:type="dxa"/>
              <w:right w:w="240" w:type="dxa"/>
            </w:tcMar>
            <w:vAlign w:val="center"/>
          </w:tcPr>
          <w:p w14:paraId="7B33F1E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F912DB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未开展演练扣2分；设施设备不全扣1分</w:t>
            </w:r>
          </w:p>
        </w:tc>
      </w:tr>
      <w:tr w14:paraId="3BAD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849" w:type="dxa"/>
            <w:shd w:val="clear" w:color="auto" w:fill="auto"/>
            <w:tcMar>
              <w:top w:w="150" w:type="dxa"/>
              <w:left w:w="0" w:type="dxa"/>
              <w:bottom w:w="150" w:type="dxa"/>
              <w:right w:w="240" w:type="dxa"/>
            </w:tcMar>
            <w:vAlign w:val="center"/>
          </w:tcPr>
          <w:p w14:paraId="2E652B1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合计</w:t>
            </w:r>
          </w:p>
        </w:tc>
        <w:tc>
          <w:tcPr>
            <w:tcW w:w="3728" w:type="dxa"/>
            <w:shd w:val="clear" w:color="auto" w:fill="auto"/>
            <w:tcMar>
              <w:top w:w="150" w:type="dxa"/>
              <w:left w:w="240" w:type="dxa"/>
              <w:bottom w:w="150" w:type="dxa"/>
              <w:right w:w="240" w:type="dxa"/>
            </w:tcMar>
            <w:vAlign w:val="center"/>
          </w:tcPr>
          <w:p w14:paraId="1547A3B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p>
        </w:tc>
        <w:tc>
          <w:tcPr>
            <w:tcW w:w="994" w:type="dxa"/>
            <w:shd w:val="clear" w:color="auto" w:fill="auto"/>
            <w:tcMar>
              <w:top w:w="150" w:type="dxa"/>
              <w:left w:w="240" w:type="dxa"/>
              <w:bottom w:w="150" w:type="dxa"/>
              <w:right w:w="240" w:type="dxa"/>
            </w:tcMar>
            <w:vAlign w:val="center"/>
          </w:tcPr>
          <w:p w14:paraId="759958E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100分</w:t>
            </w:r>
          </w:p>
        </w:tc>
        <w:tc>
          <w:tcPr>
            <w:tcW w:w="2546" w:type="dxa"/>
            <w:shd w:val="clear" w:color="auto" w:fill="auto"/>
            <w:tcMar>
              <w:top w:w="150" w:type="dxa"/>
              <w:left w:w="240" w:type="dxa"/>
              <w:bottom w:w="150" w:type="dxa"/>
              <w:right w:w="0" w:type="dxa"/>
            </w:tcMar>
            <w:vAlign w:val="center"/>
          </w:tcPr>
          <w:p w14:paraId="5A30E90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p>
        </w:tc>
      </w:tr>
    </w:tbl>
    <w:p w14:paraId="3CA8E18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五、考核结果及运用</w:t>
      </w:r>
    </w:p>
    <w:p w14:paraId="25E78B5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（一）考核等级划分</w:t>
      </w:r>
    </w:p>
    <w:tbl>
      <w:tblPr>
        <w:tblStyle w:val="11"/>
        <w:tblW w:w="91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919"/>
        <w:gridCol w:w="2099"/>
        <w:gridCol w:w="2099"/>
      </w:tblGrid>
      <w:tr w14:paraId="1E7B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C6D135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考核得分</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75FA7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考核等级</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8F471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考核结论</w:t>
            </w:r>
          </w:p>
        </w:tc>
      </w:tr>
      <w:tr w14:paraId="4CDB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4B58D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90分（含）以上</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41B71A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优秀</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B26733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40C3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81E1FD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80分（含）—90分（不含）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A0D152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良好</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33AA389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7B713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61A6EF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70分（含）—80分（不含）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A87BFB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一般</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55BFB9B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4D649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4432C4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60分（含）—70分（不含）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98946A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较差</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EDC6E4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基本合格</w:t>
            </w:r>
          </w:p>
        </w:tc>
      </w:tr>
      <w:tr w14:paraId="25F3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BE9872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60分（不含）以下</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DA6889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差</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44AD9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不合格</w:t>
            </w:r>
          </w:p>
        </w:tc>
      </w:tr>
    </w:tbl>
    <w:p w14:paraId="3328083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（二）服务费支付与考核挂钩</w:t>
      </w:r>
    </w:p>
    <w:p w14:paraId="36D0891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考核得分在80分（含）以上的：全额支付当年度服务费。</w:t>
      </w:r>
    </w:p>
    <w:p w14:paraId="276881F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考核得分在 70分（含）—80分（不含） 的：每扣除1分，扣发当年度服务费的 0.5%。</w:t>
      </w:r>
    </w:p>
    <w:p w14:paraId="648F4E1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考核得分在 60分（含）—70分（不含） 的：每扣除1分，扣发当年度服务费的 1%。</w:t>
      </w:r>
    </w:p>
    <w:p w14:paraId="70E905D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考核得分在 60分（不含）</w:t>
      </w:r>
      <w:r>
        <w:rPr>
          <w:rFonts w:hint="eastAsia" w:ascii="仿宋" w:hAnsi="仿宋" w:eastAsia="仿宋" w:cs="仿宋"/>
          <w:snapToGrid/>
          <w:color w:val="auto"/>
          <w:kern w:val="2"/>
          <w:sz w:val="28"/>
          <w:szCs w:val="28"/>
          <w:lang w:val="en-US" w:eastAsia="zh-CN"/>
        </w:rPr>
        <w:t>以下</w:t>
      </w:r>
      <w:r>
        <w:rPr>
          <w:rFonts w:hint="default" w:ascii="仿宋" w:hAnsi="仿宋" w:eastAsia="仿宋" w:cs="仿宋"/>
          <w:snapToGrid/>
          <w:color w:val="auto"/>
          <w:kern w:val="2"/>
          <w:sz w:val="28"/>
          <w:szCs w:val="28"/>
          <w:lang w:val="en-US" w:eastAsia="zh-CN"/>
        </w:rPr>
        <w:t>：扣发当年度服务费的 10%，且考核结论为不合格。</w:t>
      </w:r>
    </w:p>
    <w:p w14:paraId="171CD3C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（三）续签条件</w:t>
      </w:r>
    </w:p>
    <w:p w14:paraId="2F48DA7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年度考核得分 ≥</w:t>
      </w:r>
      <w:r>
        <w:rPr>
          <w:rFonts w:hint="eastAsia" w:ascii="仿宋" w:hAnsi="仿宋" w:eastAsia="仿宋" w:cs="仿宋"/>
          <w:snapToGrid/>
          <w:color w:val="auto"/>
          <w:kern w:val="2"/>
          <w:sz w:val="28"/>
          <w:szCs w:val="28"/>
          <w:lang w:val="en-US" w:eastAsia="zh-CN"/>
        </w:rPr>
        <w:t xml:space="preserve"> 80</w:t>
      </w:r>
      <w:r>
        <w:rPr>
          <w:rFonts w:hint="default" w:ascii="仿宋" w:hAnsi="仿宋" w:eastAsia="仿宋" w:cs="仿宋"/>
          <w:snapToGrid/>
          <w:color w:val="auto"/>
          <w:kern w:val="2"/>
          <w:sz w:val="28"/>
          <w:szCs w:val="28"/>
          <w:lang w:val="en-US" w:eastAsia="zh-CN"/>
        </w:rPr>
        <w:t> </w:t>
      </w:r>
      <w:r>
        <w:rPr>
          <w:rFonts w:hint="eastAsia" w:ascii="仿宋" w:hAnsi="仿宋" w:eastAsia="仿宋" w:cs="仿宋"/>
          <w:snapToGrid/>
          <w:color w:val="auto"/>
          <w:kern w:val="2"/>
          <w:sz w:val="28"/>
          <w:szCs w:val="28"/>
          <w:lang w:val="en-US" w:eastAsia="zh-CN"/>
        </w:rPr>
        <w:t>分</w:t>
      </w:r>
      <w:r>
        <w:rPr>
          <w:rFonts w:hint="default" w:ascii="仿宋" w:hAnsi="仿宋" w:eastAsia="仿宋" w:cs="仿宋"/>
          <w:snapToGrid/>
          <w:color w:val="auto"/>
          <w:kern w:val="2"/>
          <w:sz w:val="28"/>
          <w:szCs w:val="28"/>
          <w:lang w:val="en-US" w:eastAsia="zh-CN"/>
        </w:rPr>
        <w:t>，为考核合格，可续签下一年度合同</w:t>
      </w:r>
      <w:r>
        <w:rPr>
          <w:rFonts w:hint="eastAsia" w:ascii="仿宋" w:hAnsi="仿宋" w:eastAsia="仿宋" w:cs="仿宋"/>
          <w:snapToGrid/>
          <w:color w:val="auto"/>
          <w:kern w:val="2"/>
          <w:sz w:val="28"/>
          <w:szCs w:val="28"/>
          <w:lang w:val="en-US" w:eastAsia="zh-CN"/>
        </w:rPr>
        <w:t>。</w:t>
      </w:r>
    </w:p>
    <w:p w14:paraId="05A1AC1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2.年度考核得分 ＜80分</w:t>
      </w:r>
      <w:r>
        <w:rPr>
          <w:rFonts w:hint="default" w:ascii="仿宋" w:hAnsi="仿宋" w:eastAsia="仿宋" w:cs="仿宋"/>
          <w:snapToGrid/>
          <w:color w:val="auto"/>
          <w:kern w:val="2"/>
          <w:sz w:val="28"/>
          <w:szCs w:val="28"/>
          <w:lang w:val="en-US" w:eastAsia="zh-CN"/>
        </w:rPr>
        <w:t>，为考核不合格，甲方有权不续签下一年度合同。</w:t>
      </w:r>
    </w:p>
    <w:p w14:paraId="45C27F9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考核不合格的，甲方有权终止合同，并重新进行招标采购。</w:t>
      </w:r>
    </w:p>
    <w:p w14:paraId="52D57A3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（四）一票否决情形（直接判定为不合格）</w:t>
      </w:r>
    </w:p>
    <w:p w14:paraId="333FCE8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年度内发生以下情形之一的，直接判定为不合格（无论考核得分多少）：</w:t>
      </w:r>
    </w:p>
    <w:p w14:paraId="08AC27F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因乙方原因造成危险废物泄漏、污染等环境安全事故的；</w:t>
      </w:r>
    </w:p>
    <w:p w14:paraId="54E4580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乙方</w:t>
      </w:r>
      <w:r>
        <w:rPr>
          <w:rFonts w:hint="default" w:ascii="仿宋" w:hAnsi="仿宋" w:eastAsia="仿宋" w:cs="仿宋"/>
          <w:snapToGrid/>
          <w:color w:val="auto"/>
          <w:kern w:val="2"/>
          <w:sz w:val="28"/>
          <w:szCs w:val="28"/>
          <w:lang w:val="en-US" w:eastAsia="zh-CN"/>
        </w:rPr>
        <w:t>擅自将合同项下服务转包或分包</w:t>
      </w:r>
      <w:r>
        <w:rPr>
          <w:rFonts w:hint="eastAsia" w:ascii="仿宋" w:hAnsi="仿宋" w:eastAsia="仿宋" w:cs="仿宋"/>
          <w:snapToGrid/>
          <w:color w:val="auto"/>
          <w:kern w:val="2"/>
          <w:sz w:val="28"/>
          <w:szCs w:val="28"/>
          <w:lang w:val="en-US" w:eastAsia="zh-CN"/>
        </w:rPr>
        <w:t>。</w:t>
      </w:r>
    </w:p>
    <w:p w14:paraId="03000D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乙方危险废物经营许可证被吊销或失效的；</w:t>
      </w:r>
    </w:p>
    <w:p w14:paraId="651A94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因乙方对危险废物转运处置不当造成环保部门行政处罚的（罚款由乙方全额承担）；</w:t>
      </w:r>
    </w:p>
    <w:p w14:paraId="3A3303D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在运输、处置过程中出现遗撒、泄漏、倒卖等违反国家相关法律法规情况的；</w:t>
      </w:r>
    </w:p>
    <w:p w14:paraId="4594901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5.</w:t>
      </w:r>
      <w:r>
        <w:rPr>
          <w:rFonts w:hint="default" w:ascii="仿宋" w:hAnsi="仿宋" w:eastAsia="仿宋" w:cs="仿宋"/>
          <w:snapToGrid/>
          <w:color w:val="auto"/>
          <w:kern w:val="2"/>
          <w:sz w:val="28"/>
          <w:szCs w:val="28"/>
          <w:lang w:val="en-US" w:eastAsia="zh-CN"/>
        </w:rPr>
        <w:t>年度内累计 两次及以上 未按约定时间清运危险废物的；</w:t>
      </w:r>
    </w:p>
    <w:p w14:paraId="54AD76A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6.</w:t>
      </w:r>
      <w:r>
        <w:rPr>
          <w:rFonts w:hint="default" w:ascii="仿宋" w:hAnsi="仿宋" w:eastAsia="仿宋" w:cs="仿宋"/>
          <w:snapToGrid/>
          <w:color w:val="auto"/>
          <w:kern w:val="2"/>
          <w:sz w:val="28"/>
          <w:szCs w:val="28"/>
          <w:lang w:val="en-US" w:eastAsia="zh-CN"/>
        </w:rPr>
        <w:t>在项目实施过程中，被市级及以上环保部门通报批评的。</w:t>
      </w:r>
    </w:p>
    <w:p w14:paraId="2E683D8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六、考核程序</w:t>
      </w:r>
    </w:p>
    <w:p w14:paraId="0B9BC46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（一）考核通知</w:t>
      </w:r>
    </w:p>
    <w:p w14:paraId="5CAF532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甲方于每年度合同期满前 一个月 书面通知乙方开展年度考核，告知考核时间、方式及所需提供的资料清单。</w:t>
      </w:r>
    </w:p>
    <w:p w14:paraId="5FDF9B2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（二）资料提交</w:t>
      </w:r>
    </w:p>
    <w:p w14:paraId="3809BE0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乙方应在收到考核通知后 10个工作日内 向甲方提交以下考核资料：</w:t>
      </w:r>
    </w:p>
    <w:p w14:paraId="14E5730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本年度危险废物转移联单台账</w:t>
      </w:r>
    </w:p>
    <w:p w14:paraId="152FD7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危险废物经营情况记录簿</w:t>
      </w:r>
    </w:p>
    <w:p w14:paraId="55DA5E7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处置合格证明及检测报告</w:t>
      </w:r>
    </w:p>
    <w:p w14:paraId="722C712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运输车辆及人员资质证明</w:t>
      </w:r>
    </w:p>
    <w:p w14:paraId="1254BF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5.</w:t>
      </w:r>
      <w:r>
        <w:rPr>
          <w:rFonts w:hint="default" w:ascii="仿宋" w:hAnsi="仿宋" w:eastAsia="仿宋" w:cs="仿宋"/>
          <w:snapToGrid/>
          <w:color w:val="auto"/>
          <w:kern w:val="2"/>
          <w:sz w:val="28"/>
          <w:szCs w:val="28"/>
          <w:lang w:val="en-US" w:eastAsia="zh-CN"/>
        </w:rPr>
        <w:t>应急演练记录</w:t>
      </w:r>
    </w:p>
    <w:p w14:paraId="6FF872B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6.</w:t>
      </w:r>
      <w:r>
        <w:rPr>
          <w:rFonts w:hint="default" w:ascii="仿宋" w:hAnsi="仿宋" w:eastAsia="仿宋" w:cs="仿宋"/>
          <w:snapToGrid/>
          <w:color w:val="auto"/>
          <w:kern w:val="2"/>
          <w:sz w:val="28"/>
          <w:szCs w:val="28"/>
          <w:lang w:val="en-US" w:eastAsia="zh-CN"/>
        </w:rPr>
        <w:t>其他甲方要求的相关资料</w:t>
      </w:r>
    </w:p>
    <w:p w14:paraId="1694B6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（三）现场考核</w:t>
      </w:r>
    </w:p>
    <w:p w14:paraId="39AC10B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考核小组通过现场检查、资料审核、人员问询等方式进行综合考核评分。</w:t>
      </w:r>
    </w:p>
    <w:p w14:paraId="06C7048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（四）结果反馈</w:t>
      </w:r>
    </w:p>
    <w:p w14:paraId="3AC6A80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考核结束后 5个工作日内，甲方以书面形式将考核结果及评分明细通知乙方。</w:t>
      </w:r>
    </w:p>
    <w:p w14:paraId="6E9B1DB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（五）异议申诉</w:t>
      </w:r>
    </w:p>
    <w:p w14:paraId="46CC5E3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乙方对考核结果有异议的，可在收到通知后 5个工作日内 向甲方提出书面申诉。甲方应在收到申诉后 10个工作日内 作出复核决定。</w:t>
      </w:r>
    </w:p>
    <w:p w14:paraId="73A3C0D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七、附则</w:t>
      </w:r>
    </w:p>
    <w:p w14:paraId="0E8EF14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本考核方案作为合同附件，与主合同具有同等法律效力。</w:t>
      </w:r>
    </w:p>
    <w:p w14:paraId="3810D13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考核过程中发现的问题，乙方应在甲方要求的期限内完成整改；逾期未整改的，甲方有权加重扣分或直接判定为不合格。</w:t>
      </w:r>
    </w:p>
    <w:p w14:paraId="6029BDD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甲方可根据国家法律法规变化及实际管理需要，在不损害乙方合法权益的前提下，对本考核方案进行适当调整，并提前30日书面通知乙方。</w:t>
      </w:r>
    </w:p>
    <w:p w14:paraId="2093E2B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本考核方案由甲方负责解释。</w:t>
      </w:r>
    </w:p>
    <w:p w14:paraId="77BF537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en-US"/>
        </w:rPr>
      </w:pPr>
    </w:p>
    <w:sectPr>
      <w:headerReference r:id="rId8" w:type="default"/>
      <w:footerReference r:id="rId9" w:type="default"/>
      <w:pgSz w:w="11906" w:h="16838"/>
      <w:pgMar w:top="2041" w:right="1474" w:bottom="1928"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377890-7810-4DB7-A49C-B2DCEF455E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auto"/>
    <w:pitch w:val="default"/>
    <w:sig w:usb0="00000001" w:usb1="080E0000" w:usb2="00000000" w:usb3="00000000" w:csb0="00040000" w:csb1="00000000"/>
    <w:embedRegular r:id="rId2" w:fontKey="{43AB0C4C-6111-41CD-B7A9-94E341991DDF}"/>
  </w:font>
  <w:font w:name="仿宋_GB2312">
    <w:panose1 w:val="02010609030101010101"/>
    <w:charset w:val="86"/>
    <w:family w:val="auto"/>
    <w:pitch w:val="default"/>
    <w:sig w:usb0="00000001" w:usb1="080E0000" w:usb2="00000000" w:usb3="00000000" w:csb0="00040000" w:csb1="00000000"/>
    <w:embedRegular r:id="rId3" w:fontKey="{9D5A5FB8-9F2E-48FA-8DD3-EC47033C0746}"/>
  </w:font>
  <w:font w:name="仿宋">
    <w:panose1 w:val="02010609060101010101"/>
    <w:charset w:val="86"/>
    <w:family w:val="auto"/>
    <w:pitch w:val="default"/>
    <w:sig w:usb0="800002BF" w:usb1="38CF7CFA" w:usb2="00000016" w:usb3="00000000" w:csb0="00040001" w:csb1="00000000"/>
    <w:embedRegular r:id="rId4" w:fontKey="{777AA0DF-1E94-4706-8671-2FD0C24E84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86EF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1EEDA">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51EEDA">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3DABE">
    <w:pPr>
      <w:spacing w:line="240" w:lineRule="auto"/>
      <w:rPr>
        <w:rFonts w:ascii="宋体" w:hAnsi="宋体" w:eastAsia="宋体" w:cs="宋体"/>
        <w:sz w:val="11"/>
        <w:szCs w:val="11"/>
      </w:rPr>
    </w:pPr>
    <w:r>
      <w:rPr>
        <w:sz w:val="1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8A6EA">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B8A6EA">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50692">
    <w:pPr>
      <w:spacing w:line="240" w:lineRule="auto"/>
      <w:rPr>
        <w:rFonts w:ascii="宋体" w:hAnsi="宋体" w:eastAsia="宋体" w:cs="宋体"/>
        <w:sz w:val="11"/>
        <w:szCs w:val="11"/>
      </w:rPr>
    </w:pPr>
    <w:r>
      <w:rPr>
        <w:sz w:val="1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D9655">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FD9655">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2241E">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6A8C">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031022"/>
    <w:rsid w:val="00386D8E"/>
    <w:rsid w:val="00DD7A9F"/>
    <w:rsid w:val="01266ED6"/>
    <w:rsid w:val="013025B4"/>
    <w:rsid w:val="025C1016"/>
    <w:rsid w:val="02755A92"/>
    <w:rsid w:val="035F7E52"/>
    <w:rsid w:val="039D18E6"/>
    <w:rsid w:val="03E4200B"/>
    <w:rsid w:val="04F11B66"/>
    <w:rsid w:val="06B73250"/>
    <w:rsid w:val="06EC048E"/>
    <w:rsid w:val="07247C28"/>
    <w:rsid w:val="07323C5D"/>
    <w:rsid w:val="074F739B"/>
    <w:rsid w:val="07741257"/>
    <w:rsid w:val="081D1247"/>
    <w:rsid w:val="086C156F"/>
    <w:rsid w:val="08AC79B9"/>
    <w:rsid w:val="08C00EAC"/>
    <w:rsid w:val="08C94F2B"/>
    <w:rsid w:val="08FF2615"/>
    <w:rsid w:val="090571AA"/>
    <w:rsid w:val="093305F6"/>
    <w:rsid w:val="097D1872"/>
    <w:rsid w:val="098826F0"/>
    <w:rsid w:val="0A32289A"/>
    <w:rsid w:val="0A4043CD"/>
    <w:rsid w:val="0A8F7AAE"/>
    <w:rsid w:val="0AA03A6A"/>
    <w:rsid w:val="0AB62875"/>
    <w:rsid w:val="0AB706E8"/>
    <w:rsid w:val="0ACE6829"/>
    <w:rsid w:val="0AF049F1"/>
    <w:rsid w:val="0BF26547"/>
    <w:rsid w:val="0D4977E2"/>
    <w:rsid w:val="0DFF7B1E"/>
    <w:rsid w:val="0E98231D"/>
    <w:rsid w:val="0EEC1973"/>
    <w:rsid w:val="0F1B4006"/>
    <w:rsid w:val="0F2F360E"/>
    <w:rsid w:val="0F470958"/>
    <w:rsid w:val="0FC84B93"/>
    <w:rsid w:val="106A4115"/>
    <w:rsid w:val="116807ED"/>
    <w:rsid w:val="116972AB"/>
    <w:rsid w:val="11AF0D5D"/>
    <w:rsid w:val="12505D75"/>
    <w:rsid w:val="13456A27"/>
    <w:rsid w:val="13B22DD4"/>
    <w:rsid w:val="14103A0E"/>
    <w:rsid w:val="14A34882"/>
    <w:rsid w:val="14DE1D5E"/>
    <w:rsid w:val="14EF77DE"/>
    <w:rsid w:val="154D3FB1"/>
    <w:rsid w:val="15531313"/>
    <w:rsid w:val="1618304E"/>
    <w:rsid w:val="16726C02"/>
    <w:rsid w:val="16D04278"/>
    <w:rsid w:val="16D056D6"/>
    <w:rsid w:val="17C3523B"/>
    <w:rsid w:val="17E70F2A"/>
    <w:rsid w:val="18980476"/>
    <w:rsid w:val="189D4889"/>
    <w:rsid w:val="19E77727"/>
    <w:rsid w:val="1A3A1FB2"/>
    <w:rsid w:val="1A3D12D5"/>
    <w:rsid w:val="1A6C6448"/>
    <w:rsid w:val="1A8769F4"/>
    <w:rsid w:val="1B8C2514"/>
    <w:rsid w:val="1BC71E6E"/>
    <w:rsid w:val="1C1B7A47"/>
    <w:rsid w:val="1CCC4B92"/>
    <w:rsid w:val="1D61402B"/>
    <w:rsid w:val="1D9A16A0"/>
    <w:rsid w:val="1DCF4C7E"/>
    <w:rsid w:val="1E551A6D"/>
    <w:rsid w:val="1EAC02BD"/>
    <w:rsid w:val="1FB75FA2"/>
    <w:rsid w:val="200A3E37"/>
    <w:rsid w:val="205B4263"/>
    <w:rsid w:val="21894E00"/>
    <w:rsid w:val="21B44E63"/>
    <w:rsid w:val="22031022"/>
    <w:rsid w:val="221C2118"/>
    <w:rsid w:val="22364F87"/>
    <w:rsid w:val="223E208E"/>
    <w:rsid w:val="22DF73CD"/>
    <w:rsid w:val="240A19EC"/>
    <w:rsid w:val="24A3267C"/>
    <w:rsid w:val="25F10BEC"/>
    <w:rsid w:val="263712CE"/>
    <w:rsid w:val="264158CF"/>
    <w:rsid w:val="26EA00EF"/>
    <w:rsid w:val="26FB7B42"/>
    <w:rsid w:val="27082C6B"/>
    <w:rsid w:val="27707B10"/>
    <w:rsid w:val="27F53BFF"/>
    <w:rsid w:val="284101E2"/>
    <w:rsid w:val="2841086C"/>
    <w:rsid w:val="28856217"/>
    <w:rsid w:val="28FD5E5B"/>
    <w:rsid w:val="294A30C6"/>
    <w:rsid w:val="29BF3AB4"/>
    <w:rsid w:val="29CE2B65"/>
    <w:rsid w:val="29D93476"/>
    <w:rsid w:val="2A0911D4"/>
    <w:rsid w:val="2A0B0AA8"/>
    <w:rsid w:val="2A64640A"/>
    <w:rsid w:val="2A6A0889"/>
    <w:rsid w:val="2A921E30"/>
    <w:rsid w:val="2A9A6739"/>
    <w:rsid w:val="2BCB7E65"/>
    <w:rsid w:val="2C3317E7"/>
    <w:rsid w:val="2C7A7BA5"/>
    <w:rsid w:val="2CB5119F"/>
    <w:rsid w:val="2EDC0C65"/>
    <w:rsid w:val="2F4B7B98"/>
    <w:rsid w:val="2F9D4864"/>
    <w:rsid w:val="31A517E2"/>
    <w:rsid w:val="31C02DBE"/>
    <w:rsid w:val="32607DFF"/>
    <w:rsid w:val="32CB171C"/>
    <w:rsid w:val="32EF663F"/>
    <w:rsid w:val="334119DE"/>
    <w:rsid w:val="33435756"/>
    <w:rsid w:val="33725533"/>
    <w:rsid w:val="33EF69DC"/>
    <w:rsid w:val="34264730"/>
    <w:rsid w:val="34627E5E"/>
    <w:rsid w:val="34B34216"/>
    <w:rsid w:val="34EB1C02"/>
    <w:rsid w:val="35515375"/>
    <w:rsid w:val="357716E7"/>
    <w:rsid w:val="359642E2"/>
    <w:rsid w:val="3599165E"/>
    <w:rsid w:val="35E548A3"/>
    <w:rsid w:val="35E637E5"/>
    <w:rsid w:val="367E63F9"/>
    <w:rsid w:val="37103BA1"/>
    <w:rsid w:val="37814895"/>
    <w:rsid w:val="37B61084"/>
    <w:rsid w:val="37EF79CC"/>
    <w:rsid w:val="380F5C07"/>
    <w:rsid w:val="38770CBE"/>
    <w:rsid w:val="387E2D8D"/>
    <w:rsid w:val="38B90269"/>
    <w:rsid w:val="38E066E2"/>
    <w:rsid w:val="39E72CC9"/>
    <w:rsid w:val="3A3E4582"/>
    <w:rsid w:val="3A6E1653"/>
    <w:rsid w:val="3A944CB8"/>
    <w:rsid w:val="3AA80595"/>
    <w:rsid w:val="3D3D6D72"/>
    <w:rsid w:val="3D597924"/>
    <w:rsid w:val="3DE00ACC"/>
    <w:rsid w:val="3E0728CE"/>
    <w:rsid w:val="3E371A14"/>
    <w:rsid w:val="3F012022"/>
    <w:rsid w:val="4013025E"/>
    <w:rsid w:val="40397BD4"/>
    <w:rsid w:val="404F6FF3"/>
    <w:rsid w:val="40A00055"/>
    <w:rsid w:val="41605323"/>
    <w:rsid w:val="41B84C62"/>
    <w:rsid w:val="421E066F"/>
    <w:rsid w:val="42556256"/>
    <w:rsid w:val="43291B47"/>
    <w:rsid w:val="444F046F"/>
    <w:rsid w:val="453018B3"/>
    <w:rsid w:val="45471A90"/>
    <w:rsid w:val="45482758"/>
    <w:rsid w:val="454964D0"/>
    <w:rsid w:val="45505AB1"/>
    <w:rsid w:val="45570BED"/>
    <w:rsid w:val="45594965"/>
    <w:rsid w:val="45741238"/>
    <w:rsid w:val="47221300"/>
    <w:rsid w:val="47250A55"/>
    <w:rsid w:val="473311E6"/>
    <w:rsid w:val="47347438"/>
    <w:rsid w:val="498B5309"/>
    <w:rsid w:val="4A0B46BC"/>
    <w:rsid w:val="4A767D68"/>
    <w:rsid w:val="4AA735E3"/>
    <w:rsid w:val="4B2C0426"/>
    <w:rsid w:val="4BEC3C3A"/>
    <w:rsid w:val="4C03492F"/>
    <w:rsid w:val="4C2F01CE"/>
    <w:rsid w:val="4C5771F3"/>
    <w:rsid w:val="4C9130F6"/>
    <w:rsid w:val="4CBB4158"/>
    <w:rsid w:val="4DF758A5"/>
    <w:rsid w:val="4DFC0584"/>
    <w:rsid w:val="4EA43508"/>
    <w:rsid w:val="4ED259FB"/>
    <w:rsid w:val="4F367C65"/>
    <w:rsid w:val="4F9D72A0"/>
    <w:rsid w:val="4FD35314"/>
    <w:rsid w:val="4FF9121F"/>
    <w:rsid w:val="502E0881"/>
    <w:rsid w:val="50D74A4C"/>
    <w:rsid w:val="50E14D61"/>
    <w:rsid w:val="51891C30"/>
    <w:rsid w:val="51E312FA"/>
    <w:rsid w:val="52075749"/>
    <w:rsid w:val="528D4E0A"/>
    <w:rsid w:val="53042F77"/>
    <w:rsid w:val="53D045E2"/>
    <w:rsid w:val="54065CB8"/>
    <w:rsid w:val="5426635A"/>
    <w:rsid w:val="544D5142"/>
    <w:rsid w:val="54817F20"/>
    <w:rsid w:val="54862998"/>
    <w:rsid w:val="54BB66EA"/>
    <w:rsid w:val="54C53DC5"/>
    <w:rsid w:val="553E6EE0"/>
    <w:rsid w:val="55BE5B06"/>
    <w:rsid w:val="57044CE4"/>
    <w:rsid w:val="57995095"/>
    <w:rsid w:val="57D36B09"/>
    <w:rsid w:val="58083E73"/>
    <w:rsid w:val="5872132A"/>
    <w:rsid w:val="588D4BFA"/>
    <w:rsid w:val="58D16870"/>
    <w:rsid w:val="5906675A"/>
    <w:rsid w:val="596D45F7"/>
    <w:rsid w:val="59704E92"/>
    <w:rsid w:val="59796F2C"/>
    <w:rsid w:val="5AB83A84"/>
    <w:rsid w:val="5AF4610B"/>
    <w:rsid w:val="5B4D4C20"/>
    <w:rsid w:val="5C5B7E08"/>
    <w:rsid w:val="5C9221C8"/>
    <w:rsid w:val="5CF30F84"/>
    <w:rsid w:val="5D086F45"/>
    <w:rsid w:val="5D641D7E"/>
    <w:rsid w:val="5D9D7F84"/>
    <w:rsid w:val="5DA77BB9"/>
    <w:rsid w:val="5E473A9D"/>
    <w:rsid w:val="5E834B91"/>
    <w:rsid w:val="5FA92090"/>
    <w:rsid w:val="60575AEE"/>
    <w:rsid w:val="608508AD"/>
    <w:rsid w:val="60DA5BD2"/>
    <w:rsid w:val="61054F06"/>
    <w:rsid w:val="61654558"/>
    <w:rsid w:val="6205092E"/>
    <w:rsid w:val="621E2D67"/>
    <w:rsid w:val="626B5013"/>
    <w:rsid w:val="62917095"/>
    <w:rsid w:val="62FD060F"/>
    <w:rsid w:val="630E339F"/>
    <w:rsid w:val="645B3DFE"/>
    <w:rsid w:val="649B337D"/>
    <w:rsid w:val="655B7E2E"/>
    <w:rsid w:val="657F58CB"/>
    <w:rsid w:val="65A02A6F"/>
    <w:rsid w:val="65BB3441"/>
    <w:rsid w:val="65C506A9"/>
    <w:rsid w:val="67762CFD"/>
    <w:rsid w:val="67E23CC1"/>
    <w:rsid w:val="687C5E53"/>
    <w:rsid w:val="69022377"/>
    <w:rsid w:val="69704AFB"/>
    <w:rsid w:val="697477BE"/>
    <w:rsid w:val="697A3AF5"/>
    <w:rsid w:val="69FB573C"/>
    <w:rsid w:val="6A8B4C4A"/>
    <w:rsid w:val="6B8A6D77"/>
    <w:rsid w:val="6BAE515B"/>
    <w:rsid w:val="6BF80185"/>
    <w:rsid w:val="6C032026"/>
    <w:rsid w:val="6C641E77"/>
    <w:rsid w:val="6C791740"/>
    <w:rsid w:val="6D2F4F04"/>
    <w:rsid w:val="6D7639A4"/>
    <w:rsid w:val="6DC522E8"/>
    <w:rsid w:val="6DEE7CCE"/>
    <w:rsid w:val="6E49116B"/>
    <w:rsid w:val="6EAF5EB0"/>
    <w:rsid w:val="6EB65958"/>
    <w:rsid w:val="6EDE1978"/>
    <w:rsid w:val="6EE82732"/>
    <w:rsid w:val="6F0926A9"/>
    <w:rsid w:val="6F6D5A92"/>
    <w:rsid w:val="6F6E67C7"/>
    <w:rsid w:val="6F8A2417"/>
    <w:rsid w:val="6FCC5BB0"/>
    <w:rsid w:val="702E102A"/>
    <w:rsid w:val="70560B9A"/>
    <w:rsid w:val="706E4EB9"/>
    <w:rsid w:val="710940CB"/>
    <w:rsid w:val="711D243B"/>
    <w:rsid w:val="722E4900"/>
    <w:rsid w:val="72BB7120"/>
    <w:rsid w:val="73611B96"/>
    <w:rsid w:val="73B0768A"/>
    <w:rsid w:val="73E07E7C"/>
    <w:rsid w:val="741B7106"/>
    <w:rsid w:val="74602D6B"/>
    <w:rsid w:val="74B3733F"/>
    <w:rsid w:val="74BD5DC1"/>
    <w:rsid w:val="74CE5F27"/>
    <w:rsid w:val="750D2EF3"/>
    <w:rsid w:val="75385A96"/>
    <w:rsid w:val="758A1AB5"/>
    <w:rsid w:val="766156EC"/>
    <w:rsid w:val="772E7A2D"/>
    <w:rsid w:val="781C344D"/>
    <w:rsid w:val="78A40844"/>
    <w:rsid w:val="78CF6711"/>
    <w:rsid w:val="78E819E6"/>
    <w:rsid w:val="7A1D2B48"/>
    <w:rsid w:val="7A223EAD"/>
    <w:rsid w:val="7A5073DE"/>
    <w:rsid w:val="7A87102F"/>
    <w:rsid w:val="7AAB0B58"/>
    <w:rsid w:val="7AAD79E7"/>
    <w:rsid w:val="7ABB4647"/>
    <w:rsid w:val="7ADF1F36"/>
    <w:rsid w:val="7AEC35AA"/>
    <w:rsid w:val="7AFF7E31"/>
    <w:rsid w:val="7B0851FA"/>
    <w:rsid w:val="7B111364"/>
    <w:rsid w:val="7B114DBF"/>
    <w:rsid w:val="7BA15D4D"/>
    <w:rsid w:val="7BB5765B"/>
    <w:rsid w:val="7C3F46D5"/>
    <w:rsid w:val="7DCB394B"/>
    <w:rsid w:val="7E301A00"/>
    <w:rsid w:val="7F12669B"/>
    <w:rsid w:val="7F143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widowControl w:val="0"/>
      <w:spacing w:before="260" w:after="260" w:line="415" w:lineRule="auto"/>
      <w:jc w:val="both"/>
      <w:outlineLvl w:val="2"/>
    </w:pPr>
    <w:rPr>
      <w:rFonts w:ascii="Times New Roman" w:hAnsi="Times New Roman" w:eastAsia="宋体" w:cs="Times New Roman"/>
      <w:b/>
      <w:bCs/>
      <w:kern w:val="2"/>
      <w:sz w:val="32"/>
      <w:szCs w:val="3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Date"/>
    <w:next w:val="1"/>
    <w:qFormat/>
    <w:uiPriority w:val="0"/>
    <w:pPr>
      <w:widowControl w:val="0"/>
      <w:jc w:val="both"/>
      <w:textAlignment w:val="baseline"/>
    </w:pPr>
    <w:rPr>
      <w:rFonts w:ascii="Calibri" w:hAnsi="Calibri" w:eastAsia="宋体" w:cs="Times New Roman"/>
      <w:color w:val="000000"/>
      <w:kern w:val="0"/>
      <w:sz w:val="30"/>
      <w:szCs w:val="24"/>
      <w:lang w:val="en-US" w:eastAsia="zh-CN" w:bidi="ar-SA"/>
    </w:rPr>
  </w:style>
  <w:style w:type="paragraph" w:styleId="7">
    <w:name w:val="Body Text Indent 2"/>
    <w:qFormat/>
    <w:uiPriority w:val="0"/>
    <w:pPr>
      <w:widowControl w:val="0"/>
      <w:spacing w:after="120" w:line="480" w:lineRule="auto"/>
      <w:ind w:left="200" w:leftChars="20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List Paragraph"/>
    <w:basedOn w:val="1"/>
    <w:qFormat/>
    <w:uiPriority w:val="0"/>
    <w:pPr>
      <w:ind w:firstLine="200" w:firstLineChars="200"/>
    </w:pPr>
    <w:rPr>
      <w:szCs w:val="24"/>
    </w:rPr>
  </w:style>
  <w:style w:type="paragraph" w:customStyle="1" w:styleId="18">
    <w:name w:val="正文文本缩进1"/>
    <w:basedOn w:val="1"/>
    <w:qFormat/>
    <w:uiPriority w:val="0"/>
    <w:pPr>
      <w:ind w:firstLine="540" w:firstLineChars="225"/>
    </w:pPr>
    <w:rPr>
      <w:rFonts w:hAnsi="Bookman Old Style"/>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31454;&#20105;&#24615;&#35848;&#21028;&#37319;&#36141;&#25991;&#20214;&#27169;&#2925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4d44c743-c64f-4bcc-a862-969f4a0dadad</errorID>
      <errorWord>等</errorWord>
      <group>L1_Grammar</group>
      <groupName>语法问题</groupName>
      <ability>L2_Grammar</ability>
      <abilityName>语法错误</abilityName>
      <candidateList>
        <item>污泥等</item>
      </candidateList>
      <explain/>
      <paraID>7989A81C</paraID>
      <start>53</start>
      <end>54</end>
      <status>ignored</status>
      <modifiedWord/>
      <trackRevisions>false</trackRevisions>
    </reviewItem>
    <reviewItem>
      <errorID>744670ee-b173-4e58-818a-7f170edc53fe</errorID>
      <errorWord>&lt;</errorWord>
      <group>L1_Punc</group>
      <groupName>标点问题</groupName>
      <ability>L2_Punc_CN</ability>
      <abilityName>标点符号问题</abilityName>
      <candidateList>
        <item>〈</item>
      </candidateList>
      <explain/>
      <paraID>6A56DC86</paraID>
      <start>78</start>
      <end>79</end>
      <status>modified</status>
      <modifiedWord>〈</modifiedWord>
      <trackRevisions>false</trackRevisions>
    </reviewItem>
    <reviewItem>
      <errorID>5f4e7cac-21a2-410a-96ed-4aba37774958</errorID>
      <errorWord>&gt;</errorWord>
      <group>L1_Punc</group>
      <groupName>标点问题</groupName>
      <ability>L2_Punc_CN</ability>
      <abilityName>标点符号问题</abilityName>
      <candidateList>
        <item>〉</item>
      </candidateList>
      <explain/>
      <paraID>6A56DC86</paraID>
      <start>89</start>
      <end>90</end>
      <status>modified</status>
      <modifiedWord>〉</modifiedWord>
      <trackRevisions>false</trackRevisions>
    </reviewItem>
    <reviewItem>
      <errorID>23f1694c-8153-4ce4-856b-65f5b86ced59</errorID>
      <errorWord>及</errorWord>
      <group>L1_Word</group>
      <groupName>字词问题</groupName>
      <ability>L2_Typo</ability>
      <abilityName>字词错误</abilityName>
      <candidateList>
        <item>、</item>
      </candidateList>
      <explain/>
      <paraID>6A56DC86</paraID>
      <start>107</start>
      <end>108</end>
      <status>modified</status>
      <modifiedWord>、</modifiedWord>
      <trackRevisions>false</trackRevisions>
    </reviewItem>
    <reviewItem>
      <errorID>533fae59-c822-434b-bbae-2c4a4da7e5f5</errorID>
      <errorWord>、</errorWord>
      <group>L1_Grammar</group>
      <groupName>语法问题</groupName>
      <ability>L2_Grammar</ability>
      <abilityName>语法错误</abilityName>
      <candidateList>
        <item>，以及</item>
      </candidateList>
      <explain/>
      <paraID>6A56DC86</paraID>
      <start>159</start>
      <end>160</end>
      <status>ignored</status>
      <modifiedWord/>
      <trackRevisions>false</trackRevisions>
    </reviewItem>
    <reviewItem>
      <errorID>5272d3ae-6fd4-483a-a34f-fadfe2d4bbd1</errorID>
      <errorWord>以及</errorWord>
      <group>L1_Word</group>
      <groupName>字词问题</groupName>
      <ability>L2_Typo</ability>
      <abilityName>字词错误</abilityName>
      <candidateList>
        <item>、</item>
      </candidateList>
      <explain/>
      <paraID>6A56DC86</paraID>
      <start>188</start>
      <end>190</end>
      <status>ignored</status>
      <modifiedWord/>
      <trackRevisions>false</trackRevisions>
    </reviewItem>
    <reviewItem>
      <errorID>a45d0c98-8eb4-4cf5-a8b2-5b88d5b71d92</errorID>
      <errorWord>年月日</errorWord>
      <group>L1_Grammar</group>
      <groupName>语法问题</groupName>
      <ability>L2_Grammar</ability>
      <abilityName>语法错误</abilityName>
      <candidateList>
        <item>XXXX年XX月XX日</item>
      </candidateList>
      <explain/>
      <paraID> 523D7C9</paraID>
      <start>5</start>
      <end>16</end>
      <status>modified</status>
      <modifiedWord>XXXX年XX月XX日</modifiedWord>
      <trackRevisions>false</trackRevisions>
    </reviewItem>
    <reviewItem>
      <errorID>9ee56340-bbd0-48fd-b610-6190d33d934c</errorID>
      <errorWord>系</errorWord>
      <group>L1_Grammar</group>
      <groupName>语法问题</groupName>
      <ability>L2_Grammar</ability>
      <abilityName>语法错误</abilityName>
      <candidateList>
        <item>XXX，系</item>
      </candidateList>
      <explain/>
      <paraID>72A990C1</paraID>
      <start>3</start>
      <end>8</end>
      <status>modified</status>
      <modifiedWord>XXX，系</modifiedWord>
      <trackRevisions>false</trackRevisions>
    </reviewItem>
    <reviewItem>
      <errorID>7e735f37-35f7-412b-baf0-87ea10a85bc3</errorID>
      <errorWord>接受</errorWord>
      <group>L1_Word</group>
      <groupName>字词问题</groupName>
      <ability>L2_Typo</ability>
      <abilityName>字词错误</abilityName>
      <candidateList>
        <item>承担</item>
      </candidateList>
      <explain/>
      <paraID>45EF8373</paraID>
      <start>42</start>
      <end>44</end>
      <status>modified</status>
      <modifiedWord>承担</modifiedWord>
      <trackRevisions>false</trackRevisions>
    </reviewItem>
    <reviewItem>
      <errorID>b2d3e2d1-91c4-40f3-abe9-f25f22213120</errorID>
      <errorWord>&lt;</errorWord>
      <group>L1_Format</group>
      <groupName>格式问题</groupName>
      <ability>L2_HalfPunc_CN</ability>
      <abilityName>全半角问题</abilityName>
      <candidateList>
        <item>〈</item>
      </candidateList>
      <explain>文本全半角错误。</explain>
      <paraID>6ACED37B</paraID>
      <start>76</start>
      <end>77</end>
      <status>modified</status>
      <modifiedWord>〈</modifiedWord>
      <trackRevisions>false</trackRevisions>
    </reviewItem>
    <reviewItem>
      <errorID>294b70c0-2a4a-40eb-b2f1-8c090242042b</errorID>
      <errorWord>单位</errorWord>
      <group>L1_Grammar</group>
      <groupName>语法问题</groupName>
      <ability>L2_Grammar</ability>
      <abilityName>语法错误</abilityName>
      <candidateList>
        <item>中标单位</item>
      </candidateList>
      <explain/>
      <paraID>1544BE4A</paraID>
      <start>11</start>
      <end>15</end>
      <status>modified</status>
      <modifiedWord>中标单位</modifiedWord>
      <trackRevisions>false</trackRevisions>
    </reviewItem>
    <reviewItem>
      <errorID>c0633f55-eb14-44ff-87bb-cf63bdc12ba1</errorID>
      <errorWord>百分制评分</errorWord>
      <group>L1_Grammar</group>
      <groupName>语法问题</groupName>
      <ability>L2_Grammar</ability>
      <abilityName>语法错误</abilityName>
      <candidateList>
        <item>百分制</item>
      </candidateList>
      <explain/>
      <paraID>378B5894</paraID>
      <start>4</start>
      <end>7</end>
      <status>modified</status>
      <modifiedWord>百分制</modifiedWord>
      <trackRevisions>false</trackRevisions>
    </reviewItem>
    <reviewItem>
      <errorID>1d24a0c0-9061-4ac9-a727-cf766d512bae</errorID>
      <errorWord>程</errorWord>
      <group>L1_Word</group>
      <groupName>字词问题</groupName>
      <ability>L2_Typo</ability>
      <abilityName>字词错误</abilityName>
      <candidateList>
        <item>程中</item>
      </candidateList>
      <explain/>
      <paraID>2ED47484</paraID>
      <start>3</start>
      <end>5</end>
      <status>modified</status>
      <modifiedWord>程中</modifiedWord>
      <trackRevisions>false</trackRevisions>
    </reviewItem>
    <reviewItem>
      <errorID>83130ad0-da42-46b3-8c0c-82020c56a660</errorID>
      <errorWord> </errorWord>
      <group>L1_Punc</group>
      <groupName>标点问题</groupName>
      <ability>L2_Punc_CN</ability>
      <abilityName>标点符号问题</abilityName>
      <candidateList>
        <item/>
      </candidateList>
      <explain>此处空格冗余，建议删除。</explain>
      <paraID>36D08918</paraID>
      <start>7</start>
      <end>7</end>
      <status>modified</status>
      <modifiedWord/>
      <trackRevisions>false</trackRevisions>
    </reviewItem>
    <reviewItem>
      <errorID>31891285-0964-4dbc-9e70-20f63b5eb207</errorID>
      <errorWord> </errorWord>
      <group>L1_Punc</group>
      <groupName>标点问题</groupName>
      <ability>L2_Punc_CN</ability>
      <abilityName>标点符号问题</abilityName>
      <candidateList>
        <item/>
      </candidateList>
      <explain>此处空格冗余，建议删除。</explain>
      <paraID>36D08918</paraID>
      <start>15</start>
      <end>15</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0894c8-b558-4776-a1c6-5d2868d90645}">
  <ds:schemaRefs/>
</ds:datastoreItem>
</file>

<file path=docProps/app.xml><?xml version="1.0" encoding="utf-8"?>
<Properties xmlns="http://schemas.openxmlformats.org/officeDocument/2006/extended-properties" xmlns:vt="http://schemas.openxmlformats.org/officeDocument/2006/docPropsVTypes">
  <Template>竞争性谈判采购文件模版.docx</Template>
  <Pages>31</Pages>
  <Words>8883</Words>
  <Characters>9230</Characters>
  <Lines>0</Lines>
  <Paragraphs>0</Paragraphs>
  <TotalTime>27</TotalTime>
  <ScaleCrop>false</ScaleCrop>
  <LinksUpToDate>false</LinksUpToDate>
  <CharactersWithSpaces>9279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2026-07-22T07:29:00Z</dcterms:created>
  <dc:creator>张凌霄</dc:creator>
  <cp:lastModifiedBy>张凌霄</cp:lastModifiedBy>
  <dcterms:modified xsi:type="dcterms:W3CDTF">2026-08-17T07:14:41Z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eyJoZGlkIjoiOWY0MGUwNzI3MTljZTViMGY3YzBhOWMyMzg4NzJlNTYiLCJ1c2VySWQiOiI0NDE1MzI1OTQifQ==</vt:lpwstr>
  </property>
  <property fmtid="{D5CDD505-2E9C-101B-9397-08002B2CF9AE}" pid="4" name="ICV">
    <vt:lpwstr>DB101D0748DD4DEA91505A42411C1B2E_13</vt:lpwstr>
  </property>
</Properties>
</file>